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C36BD">
      <w:pPr>
        <w:pStyle w:val="6"/>
        <w:spacing w:before="93"/>
        <w:jc w:val="center"/>
        <w:rPr>
          <w:rFonts w:hint="eastAsia" w:ascii="Times New Roman" w:eastAsia="方正小标宋简体"/>
          <w:kern w:val="2"/>
          <w:sz w:val="44"/>
          <w:szCs w:val="44"/>
        </w:rPr>
      </w:pPr>
      <w:bookmarkStart w:id="0" w:name="_Toc15306267"/>
      <w:bookmarkStart w:id="1" w:name="_Toc15378442"/>
      <w:bookmarkStart w:id="2" w:name="_Toc15396598"/>
      <w:bookmarkStart w:id="3" w:name="_Toc15377426"/>
      <w:bookmarkStart w:id="4" w:name="_Toc15377194"/>
      <w:bookmarkStart w:id="5" w:name="_Toc15396476"/>
      <w:r>
        <w:rPr>
          <w:rFonts w:hint="eastAsia" w:ascii="Times New Roman" w:eastAsia="方正小标宋简体"/>
          <w:kern w:val="2"/>
          <w:sz w:val="44"/>
          <w:szCs w:val="44"/>
        </w:rPr>
        <w:t>2025年度</w:t>
      </w:r>
    </w:p>
    <w:p w14:paraId="09610924">
      <w:pPr>
        <w:pStyle w:val="6"/>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四川省</w:t>
      </w:r>
      <w:r>
        <w:rPr>
          <w:rFonts w:hint="eastAsia" w:ascii="Times New Roman" w:eastAsia="方正小标宋简体"/>
          <w:kern w:val="2"/>
          <w:sz w:val="44"/>
          <w:szCs w:val="44"/>
        </w:rPr>
        <w:t>攀枝花市</w:t>
      </w:r>
      <w:bookmarkEnd w:id="0"/>
      <w:bookmarkStart w:id="6" w:name="_Toc15306268"/>
      <w:r>
        <w:rPr>
          <w:rFonts w:hint="eastAsia" w:ascii="Times New Roman" w:eastAsia="方正小标宋简体"/>
          <w:kern w:val="2"/>
          <w:sz w:val="44"/>
          <w:szCs w:val="44"/>
          <w:lang w:eastAsia="zh-CN"/>
        </w:rPr>
        <w:t>中西医结合医院</w:t>
      </w:r>
    </w:p>
    <w:p w14:paraId="3A29CBC2">
      <w:pPr>
        <w:pStyle w:val="6"/>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1"/>
      <w:bookmarkEnd w:id="2"/>
      <w:bookmarkEnd w:id="3"/>
      <w:bookmarkEnd w:id="4"/>
      <w:bookmarkEnd w:id="5"/>
      <w:bookmarkEnd w:id="6"/>
    </w:p>
    <w:p w14:paraId="2354FC0B">
      <w:pPr>
        <w:pStyle w:val="16"/>
        <w:adjustRightInd w:val="0"/>
        <w:snapToGrid w:val="0"/>
        <w:spacing w:line="560" w:lineRule="exact"/>
        <w:jc w:val="left"/>
        <w:rPr>
          <w:rFonts w:eastAsia="黑体"/>
          <w:sz w:val="48"/>
          <w:szCs w:val="48"/>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065F6476">
      <w:pPr>
        <w:widowControl/>
        <w:jc w:val="center"/>
        <w:rPr>
          <w:rFonts w:eastAsia="黑体"/>
          <w:sz w:val="48"/>
          <w:szCs w:val="48"/>
        </w:rPr>
      </w:pPr>
      <w:r>
        <w:rPr>
          <w:rFonts w:hint="eastAsia" w:eastAsia="黑体"/>
          <w:sz w:val="48"/>
          <w:szCs w:val="48"/>
        </w:rPr>
        <w:t>目录</w:t>
      </w:r>
    </w:p>
    <w:p w14:paraId="5405EB7E">
      <w:pPr>
        <w:widowControl/>
        <w:jc w:val="center"/>
        <w:rPr>
          <w:rFonts w:eastAsia="黑体" w:cstheme="minorBidi"/>
          <w:sz w:val="28"/>
          <w:szCs w:val="28"/>
        </w:rPr>
      </w:pPr>
    </w:p>
    <w:p w14:paraId="65793730">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w:t>
      </w:r>
      <w:r>
        <w:rPr>
          <w:rFonts w:hint="eastAsia" w:ascii="Times New Roman" w:hAnsi="Times New Roman" w:eastAsia="仿宋_GB2312" w:cs="仿宋_GB2312"/>
          <w:sz w:val="32"/>
          <w:szCs w:val="32"/>
          <w:lang w:val="en-US" w:eastAsia="zh-CN"/>
        </w:rPr>
        <w:t>7</w:t>
      </w:r>
      <w:r>
        <w:rPr>
          <w:rFonts w:hint="eastAsia" w:ascii="Times New Roman" w:hAnsi="Times New Roman" w:eastAsia="仿宋_GB2312" w:cs="仿宋_GB2312"/>
          <w:sz w:val="32"/>
          <w:szCs w:val="32"/>
        </w:rPr>
        <w:t xml:space="preserve"> 日</w:t>
      </w:r>
    </w:p>
    <w:p w14:paraId="58A708A2">
      <w:bookmarkStart w:id="210" w:name="_GoBack"/>
      <w:bookmarkEnd w:id="210"/>
    </w:p>
    <w:p w14:paraId="3BE576E2">
      <w:pPr>
        <w:pStyle w:val="14"/>
        <w:tabs>
          <w:tab w:val="right" w:leader="dot" w:pos="8306"/>
          <w:tab w:val="clear" w:pos="8296"/>
        </w:tabs>
      </w:pPr>
      <w:bookmarkStart w:id="7" w:name="_Toc15377196"/>
      <w:bookmarkStart w:id="8" w:name="_Toc15396599"/>
      <w:r>
        <w:fldChar w:fldCharType="begin"/>
      </w:r>
      <w:r>
        <w:instrText xml:space="preserve">TOC \o "1-5" \h \u </w:instrText>
      </w:r>
      <w:r>
        <w:fldChar w:fldCharType="separate"/>
      </w:r>
      <w:r>
        <w:fldChar w:fldCharType="begin"/>
      </w:r>
      <w:r>
        <w:instrText xml:space="preserve"> HYPERLINK \l _Toc20689 </w:instrText>
      </w:r>
      <w:r>
        <w:fldChar w:fldCharType="separate"/>
      </w:r>
      <w:r>
        <w:rPr>
          <w:rFonts w:hint="eastAsia" w:eastAsia="方正小标宋简体" w:cs="方正小标宋简体"/>
        </w:rPr>
        <w:t xml:space="preserve">第一部分  </w:t>
      </w:r>
      <w:r>
        <w:rPr>
          <w:rFonts w:hint="eastAsia" w:eastAsia="方正小标宋简体" w:cs="方正小标宋简体"/>
          <w:bCs w:val="0"/>
        </w:rPr>
        <w:t>部门概况</w:t>
      </w:r>
      <w:r>
        <w:tab/>
      </w:r>
      <w:r>
        <w:fldChar w:fldCharType="begin"/>
      </w:r>
      <w:r>
        <w:instrText xml:space="preserve"> PAGEREF _Toc20689 \h </w:instrText>
      </w:r>
      <w:r>
        <w:fldChar w:fldCharType="separate"/>
      </w:r>
      <w:r>
        <w:t>1</w:t>
      </w:r>
      <w:r>
        <w:fldChar w:fldCharType="end"/>
      </w:r>
      <w:r>
        <w:fldChar w:fldCharType="end"/>
      </w:r>
    </w:p>
    <w:p w14:paraId="18D30D85">
      <w:pPr>
        <w:pStyle w:val="16"/>
        <w:tabs>
          <w:tab w:val="right" w:leader="dot" w:pos="8306"/>
          <w:tab w:val="clear" w:pos="8296"/>
        </w:tabs>
      </w:pPr>
      <w:r>
        <w:fldChar w:fldCharType="begin"/>
      </w:r>
      <w:r>
        <w:instrText xml:space="preserve"> HYPERLINK \l _Toc14449 </w:instrText>
      </w:r>
      <w:r>
        <w:fldChar w:fldCharType="separate"/>
      </w:r>
      <w:r>
        <w:rPr>
          <w:rFonts w:hint="eastAsia" w:ascii="Times New Roman" w:hAnsi="Times New Roman" w:eastAsia="黑体"/>
          <w:bCs w:val="0"/>
          <w:lang w:eastAsia="zh-CN"/>
        </w:rPr>
        <w:t>一、</w:t>
      </w:r>
      <w:r>
        <w:rPr>
          <w:rFonts w:hint="eastAsia" w:ascii="Times New Roman" w:hAnsi="Times New Roman" w:eastAsia="黑体"/>
          <w:bCs w:val="0"/>
        </w:rPr>
        <w:t>部门职责</w:t>
      </w:r>
      <w:r>
        <w:tab/>
      </w:r>
      <w:r>
        <w:fldChar w:fldCharType="begin"/>
      </w:r>
      <w:r>
        <w:instrText xml:space="preserve"> PAGEREF _Toc14449 \h </w:instrText>
      </w:r>
      <w:r>
        <w:fldChar w:fldCharType="separate"/>
      </w:r>
      <w:r>
        <w:t>1</w:t>
      </w:r>
      <w:r>
        <w:fldChar w:fldCharType="end"/>
      </w:r>
      <w:r>
        <w:fldChar w:fldCharType="end"/>
      </w:r>
    </w:p>
    <w:p w14:paraId="1E09E199">
      <w:pPr>
        <w:pStyle w:val="16"/>
        <w:tabs>
          <w:tab w:val="right" w:leader="dot" w:pos="8306"/>
          <w:tab w:val="clear" w:pos="8296"/>
        </w:tabs>
      </w:pPr>
      <w:r>
        <w:fldChar w:fldCharType="begin"/>
      </w:r>
      <w:r>
        <w:instrText xml:space="preserve"> HYPERLINK \l _Toc29918 </w:instrText>
      </w:r>
      <w:r>
        <w:fldChar w:fldCharType="separate"/>
      </w:r>
      <w:r>
        <w:rPr>
          <w:rFonts w:hint="eastAsia" w:ascii="Times New Roman" w:hAnsi="Times New Roman" w:eastAsia="黑体"/>
          <w:bCs w:val="0"/>
        </w:rPr>
        <w:t>二、机构设置</w:t>
      </w:r>
      <w:r>
        <w:tab/>
      </w:r>
      <w:r>
        <w:fldChar w:fldCharType="begin"/>
      </w:r>
      <w:r>
        <w:instrText xml:space="preserve"> PAGEREF _Toc29918 \h </w:instrText>
      </w:r>
      <w:r>
        <w:fldChar w:fldCharType="separate"/>
      </w:r>
      <w:r>
        <w:t>1</w:t>
      </w:r>
      <w:r>
        <w:fldChar w:fldCharType="end"/>
      </w:r>
      <w:r>
        <w:fldChar w:fldCharType="end"/>
      </w:r>
    </w:p>
    <w:p w14:paraId="3E6E4E61">
      <w:pPr>
        <w:pStyle w:val="14"/>
        <w:tabs>
          <w:tab w:val="right" w:leader="dot" w:pos="8306"/>
          <w:tab w:val="clear" w:pos="8296"/>
        </w:tabs>
      </w:pPr>
      <w:r>
        <w:fldChar w:fldCharType="begin"/>
      </w:r>
      <w:r>
        <w:instrText xml:space="preserve"> HYPERLINK \l _Toc4252 </w:instrText>
      </w:r>
      <w:r>
        <w:fldChar w:fldCharType="separate"/>
      </w:r>
      <w:r>
        <w:rPr>
          <w:rFonts w:hint="eastAsia" w:eastAsia="方正小标宋简体" w:cs="方正小标宋简体"/>
        </w:rPr>
        <w:t>第二部分  2025年度部门决算情况说明</w:t>
      </w:r>
      <w:r>
        <w:tab/>
      </w:r>
      <w:r>
        <w:fldChar w:fldCharType="begin"/>
      </w:r>
      <w:r>
        <w:instrText xml:space="preserve"> PAGEREF _Toc4252 \h </w:instrText>
      </w:r>
      <w:r>
        <w:fldChar w:fldCharType="separate"/>
      </w:r>
      <w:r>
        <w:t>2</w:t>
      </w:r>
      <w:r>
        <w:fldChar w:fldCharType="end"/>
      </w:r>
      <w:r>
        <w:fldChar w:fldCharType="end"/>
      </w:r>
    </w:p>
    <w:p w14:paraId="55F8EB66">
      <w:pPr>
        <w:pStyle w:val="16"/>
        <w:tabs>
          <w:tab w:val="right" w:leader="dot" w:pos="8306"/>
          <w:tab w:val="clear" w:pos="8296"/>
        </w:tabs>
      </w:pPr>
      <w:r>
        <w:fldChar w:fldCharType="begin"/>
      </w:r>
      <w:r>
        <w:instrText xml:space="preserve"> HYPERLINK \l _Toc2433 </w:instrText>
      </w:r>
      <w:r>
        <w:fldChar w:fldCharType="separate"/>
      </w:r>
      <w:r>
        <w:rPr>
          <w:rFonts w:hint="eastAsia" w:eastAsia="黑体"/>
          <w:szCs w:val="32"/>
        </w:rPr>
        <w:t>一、收</w:t>
      </w:r>
      <w:r>
        <w:rPr>
          <w:rFonts w:hint="eastAsia" w:ascii="Times New Roman" w:hAnsi="Times New Roman" w:eastAsia="黑体"/>
        </w:rPr>
        <w:t>入支出决算总体情况说明</w:t>
      </w:r>
      <w:r>
        <w:tab/>
      </w:r>
      <w:r>
        <w:fldChar w:fldCharType="begin"/>
      </w:r>
      <w:r>
        <w:instrText xml:space="preserve"> PAGEREF _Toc2433 \h </w:instrText>
      </w:r>
      <w:r>
        <w:fldChar w:fldCharType="separate"/>
      </w:r>
      <w:r>
        <w:t>2</w:t>
      </w:r>
      <w:r>
        <w:fldChar w:fldCharType="end"/>
      </w:r>
      <w:r>
        <w:fldChar w:fldCharType="end"/>
      </w:r>
    </w:p>
    <w:p w14:paraId="21DA9229">
      <w:pPr>
        <w:pStyle w:val="16"/>
        <w:tabs>
          <w:tab w:val="right" w:leader="dot" w:pos="8306"/>
          <w:tab w:val="clear" w:pos="8296"/>
        </w:tabs>
      </w:pPr>
      <w:r>
        <w:fldChar w:fldCharType="begin"/>
      </w:r>
      <w:r>
        <w:instrText xml:space="preserve"> HYPERLINK \l _Toc13176 </w:instrText>
      </w:r>
      <w:r>
        <w:fldChar w:fldCharType="separate"/>
      </w:r>
      <w:r>
        <w:rPr>
          <w:rFonts w:hint="eastAsia" w:eastAsia="黑体"/>
          <w:szCs w:val="32"/>
        </w:rPr>
        <w:t>二、收入决算情况说明</w:t>
      </w:r>
      <w:r>
        <w:tab/>
      </w:r>
      <w:r>
        <w:fldChar w:fldCharType="begin"/>
      </w:r>
      <w:r>
        <w:instrText xml:space="preserve"> PAGEREF _Toc13176 \h </w:instrText>
      </w:r>
      <w:r>
        <w:fldChar w:fldCharType="separate"/>
      </w:r>
      <w:r>
        <w:t>2</w:t>
      </w:r>
      <w:r>
        <w:fldChar w:fldCharType="end"/>
      </w:r>
      <w:r>
        <w:fldChar w:fldCharType="end"/>
      </w:r>
    </w:p>
    <w:p w14:paraId="44D64011">
      <w:pPr>
        <w:pStyle w:val="16"/>
        <w:tabs>
          <w:tab w:val="right" w:leader="dot" w:pos="8306"/>
          <w:tab w:val="clear" w:pos="8296"/>
        </w:tabs>
      </w:pPr>
      <w:r>
        <w:fldChar w:fldCharType="begin"/>
      </w:r>
      <w:r>
        <w:instrText xml:space="preserve"> HYPERLINK \l _Toc2063 </w:instrText>
      </w:r>
      <w:r>
        <w:fldChar w:fldCharType="separate"/>
      </w:r>
      <w:r>
        <w:rPr>
          <w:rFonts w:hint="eastAsia" w:eastAsia="黑体"/>
          <w:szCs w:val="32"/>
        </w:rPr>
        <w:t>三、支</w:t>
      </w:r>
      <w:r>
        <w:rPr>
          <w:rFonts w:hint="eastAsia" w:ascii="Times New Roman" w:hAnsi="Times New Roman" w:eastAsia="黑体"/>
        </w:rPr>
        <w:t>出决算情况说明</w:t>
      </w:r>
      <w:r>
        <w:tab/>
      </w:r>
      <w:r>
        <w:fldChar w:fldCharType="begin"/>
      </w:r>
      <w:r>
        <w:instrText xml:space="preserve"> PAGEREF _Toc2063 \h </w:instrText>
      </w:r>
      <w:r>
        <w:fldChar w:fldCharType="separate"/>
      </w:r>
      <w:r>
        <w:t>3</w:t>
      </w:r>
      <w:r>
        <w:fldChar w:fldCharType="end"/>
      </w:r>
      <w:r>
        <w:fldChar w:fldCharType="end"/>
      </w:r>
    </w:p>
    <w:p w14:paraId="0099C704">
      <w:pPr>
        <w:pStyle w:val="16"/>
        <w:tabs>
          <w:tab w:val="right" w:leader="dot" w:pos="8306"/>
          <w:tab w:val="clear" w:pos="8296"/>
        </w:tabs>
      </w:pPr>
      <w:r>
        <w:fldChar w:fldCharType="begin"/>
      </w:r>
      <w:r>
        <w:instrText xml:space="preserve"> HYPERLINK \l _Toc15035 </w:instrText>
      </w:r>
      <w:r>
        <w:fldChar w:fldCharType="separate"/>
      </w:r>
      <w:r>
        <w:rPr>
          <w:rFonts w:hint="eastAsia" w:eastAsia="黑体"/>
          <w:szCs w:val="32"/>
        </w:rPr>
        <w:t>四、财</w:t>
      </w:r>
      <w:r>
        <w:rPr>
          <w:rFonts w:hint="eastAsia" w:ascii="Times New Roman" w:hAnsi="Times New Roman" w:eastAsia="黑体"/>
        </w:rPr>
        <w:t>政拨款收入支出决算总体情况说明</w:t>
      </w:r>
      <w:r>
        <w:tab/>
      </w:r>
      <w:r>
        <w:fldChar w:fldCharType="begin"/>
      </w:r>
      <w:r>
        <w:instrText xml:space="preserve"> PAGEREF _Toc15035 \h </w:instrText>
      </w:r>
      <w:r>
        <w:fldChar w:fldCharType="separate"/>
      </w:r>
      <w:r>
        <w:t>3</w:t>
      </w:r>
      <w:r>
        <w:fldChar w:fldCharType="end"/>
      </w:r>
      <w:r>
        <w:fldChar w:fldCharType="end"/>
      </w:r>
    </w:p>
    <w:p w14:paraId="16496512">
      <w:pPr>
        <w:pStyle w:val="16"/>
        <w:tabs>
          <w:tab w:val="right" w:leader="dot" w:pos="8306"/>
          <w:tab w:val="clear" w:pos="8296"/>
        </w:tabs>
      </w:pPr>
      <w:r>
        <w:fldChar w:fldCharType="begin"/>
      </w:r>
      <w:r>
        <w:instrText xml:space="preserve"> HYPERLINK \l _Toc2083 </w:instrText>
      </w:r>
      <w:r>
        <w:fldChar w:fldCharType="separate"/>
      </w:r>
      <w:r>
        <w:rPr>
          <w:rFonts w:hint="eastAsia" w:eastAsia="黑体"/>
          <w:szCs w:val="32"/>
        </w:rPr>
        <w:t>五、一</w:t>
      </w:r>
      <w:r>
        <w:rPr>
          <w:rFonts w:hint="eastAsia" w:ascii="Times New Roman" w:hAnsi="Times New Roman" w:eastAsia="黑体"/>
        </w:rPr>
        <w:t>般公共预算财政拨款支出决算情况说明</w:t>
      </w:r>
      <w:r>
        <w:tab/>
      </w:r>
      <w:r>
        <w:fldChar w:fldCharType="begin"/>
      </w:r>
      <w:r>
        <w:instrText xml:space="preserve"> PAGEREF _Toc2083 \h </w:instrText>
      </w:r>
      <w:r>
        <w:fldChar w:fldCharType="separate"/>
      </w:r>
      <w:r>
        <w:t>4</w:t>
      </w:r>
      <w:r>
        <w:fldChar w:fldCharType="end"/>
      </w:r>
      <w:r>
        <w:fldChar w:fldCharType="end"/>
      </w:r>
    </w:p>
    <w:p w14:paraId="1EAB7851">
      <w:pPr>
        <w:pStyle w:val="16"/>
        <w:tabs>
          <w:tab w:val="right" w:leader="dot" w:pos="8306"/>
          <w:tab w:val="clear" w:pos="8296"/>
        </w:tabs>
      </w:pPr>
      <w:r>
        <w:fldChar w:fldCharType="begin"/>
      </w:r>
      <w:r>
        <w:instrText xml:space="preserve"> HYPERLINK \l _Toc14260 </w:instrText>
      </w:r>
      <w:r>
        <w:fldChar w:fldCharType="separate"/>
      </w:r>
      <w:r>
        <w:rPr>
          <w:rFonts w:hint="eastAsia" w:eastAsia="黑体"/>
          <w:szCs w:val="32"/>
        </w:rPr>
        <w:t>六、一</w:t>
      </w:r>
      <w:r>
        <w:rPr>
          <w:rFonts w:hint="eastAsia" w:ascii="Times New Roman" w:hAnsi="Times New Roman" w:eastAsia="黑体"/>
        </w:rPr>
        <w:t>般公共预算财政拨款基本支出决算情况说明</w:t>
      </w:r>
      <w:r>
        <w:tab/>
      </w:r>
      <w:r>
        <w:fldChar w:fldCharType="begin"/>
      </w:r>
      <w:r>
        <w:instrText xml:space="preserve"> PAGEREF _Toc14260 \h </w:instrText>
      </w:r>
      <w:r>
        <w:fldChar w:fldCharType="separate"/>
      </w:r>
      <w:r>
        <w:t>6</w:t>
      </w:r>
      <w:r>
        <w:fldChar w:fldCharType="end"/>
      </w:r>
      <w:r>
        <w:fldChar w:fldCharType="end"/>
      </w:r>
    </w:p>
    <w:p w14:paraId="4CDEB798">
      <w:pPr>
        <w:pStyle w:val="16"/>
        <w:tabs>
          <w:tab w:val="right" w:leader="dot" w:pos="8306"/>
          <w:tab w:val="clear" w:pos="8296"/>
        </w:tabs>
      </w:pPr>
      <w:r>
        <w:fldChar w:fldCharType="begin"/>
      </w:r>
      <w:r>
        <w:instrText xml:space="preserve"> HYPERLINK \l _Toc2170 </w:instrText>
      </w:r>
      <w:r>
        <w:fldChar w:fldCharType="separate"/>
      </w:r>
      <w:r>
        <w:rPr>
          <w:rFonts w:hint="eastAsia" w:eastAsia="黑体"/>
          <w:szCs w:val="32"/>
        </w:rPr>
        <w:t>七、</w:t>
      </w:r>
      <w:r>
        <w:rPr>
          <w:rFonts w:hint="eastAsia" w:ascii="Times New Roman" w:hAnsi="Times New Roman" w:eastAsia="黑体"/>
        </w:rPr>
        <w:t>财政拨款“三公”经费支出决算情况说明</w:t>
      </w:r>
      <w:r>
        <w:tab/>
      </w:r>
      <w:r>
        <w:fldChar w:fldCharType="begin"/>
      </w:r>
      <w:r>
        <w:instrText xml:space="preserve"> PAGEREF _Toc2170 \h </w:instrText>
      </w:r>
      <w:r>
        <w:fldChar w:fldCharType="separate"/>
      </w:r>
      <w:r>
        <w:t>6</w:t>
      </w:r>
      <w:r>
        <w:fldChar w:fldCharType="end"/>
      </w:r>
      <w:r>
        <w:fldChar w:fldCharType="end"/>
      </w:r>
    </w:p>
    <w:p w14:paraId="6EF33A01">
      <w:pPr>
        <w:pStyle w:val="16"/>
        <w:tabs>
          <w:tab w:val="right" w:leader="dot" w:pos="8306"/>
          <w:tab w:val="clear" w:pos="8296"/>
        </w:tabs>
      </w:pPr>
      <w:r>
        <w:fldChar w:fldCharType="begin"/>
      </w:r>
      <w:r>
        <w:instrText xml:space="preserve"> HYPERLINK \l _Toc977 </w:instrText>
      </w:r>
      <w:r>
        <w:fldChar w:fldCharType="separate"/>
      </w:r>
      <w:r>
        <w:rPr>
          <w:rFonts w:hint="eastAsia" w:eastAsia="黑体"/>
          <w:szCs w:val="32"/>
        </w:rPr>
        <w:t>八、</w:t>
      </w:r>
      <w:r>
        <w:rPr>
          <w:rFonts w:hint="eastAsia" w:ascii="Times New Roman" w:hAnsi="Times New Roman" w:eastAsia="黑体"/>
        </w:rPr>
        <w:t>政府性基金预算支出决算情况说明</w:t>
      </w:r>
      <w:r>
        <w:tab/>
      </w:r>
      <w:r>
        <w:fldChar w:fldCharType="begin"/>
      </w:r>
      <w:r>
        <w:instrText xml:space="preserve"> PAGEREF _Toc977 \h </w:instrText>
      </w:r>
      <w:r>
        <w:fldChar w:fldCharType="separate"/>
      </w:r>
      <w:r>
        <w:t>8</w:t>
      </w:r>
      <w:r>
        <w:fldChar w:fldCharType="end"/>
      </w:r>
      <w:r>
        <w:fldChar w:fldCharType="end"/>
      </w:r>
    </w:p>
    <w:p w14:paraId="1124CF72">
      <w:pPr>
        <w:pStyle w:val="16"/>
        <w:tabs>
          <w:tab w:val="right" w:leader="dot" w:pos="8306"/>
          <w:tab w:val="clear" w:pos="8296"/>
        </w:tabs>
      </w:pPr>
      <w:r>
        <w:fldChar w:fldCharType="begin"/>
      </w:r>
      <w:r>
        <w:instrText xml:space="preserve"> HYPERLINK \l _Toc31346 </w:instrText>
      </w:r>
      <w:r>
        <w:fldChar w:fldCharType="separate"/>
      </w:r>
      <w:r>
        <w:rPr>
          <w:rFonts w:hint="eastAsia" w:ascii="Times New Roman" w:hAnsi="Times New Roman" w:eastAsia="黑体"/>
        </w:rPr>
        <w:t>九、国有资本经营预算支出决算情况说明</w:t>
      </w:r>
      <w:r>
        <w:tab/>
      </w:r>
      <w:r>
        <w:fldChar w:fldCharType="begin"/>
      </w:r>
      <w:r>
        <w:instrText xml:space="preserve"> PAGEREF _Toc31346 \h </w:instrText>
      </w:r>
      <w:r>
        <w:fldChar w:fldCharType="separate"/>
      </w:r>
      <w:r>
        <w:t>8</w:t>
      </w:r>
      <w:r>
        <w:fldChar w:fldCharType="end"/>
      </w:r>
      <w:r>
        <w:fldChar w:fldCharType="end"/>
      </w:r>
    </w:p>
    <w:p w14:paraId="4D6BC72B">
      <w:pPr>
        <w:pStyle w:val="16"/>
        <w:tabs>
          <w:tab w:val="right" w:leader="dot" w:pos="8306"/>
          <w:tab w:val="clear" w:pos="8296"/>
        </w:tabs>
      </w:pPr>
      <w:r>
        <w:fldChar w:fldCharType="begin"/>
      </w:r>
      <w:r>
        <w:instrText xml:space="preserve"> HYPERLINK \l _Toc24431 </w:instrText>
      </w:r>
      <w:r>
        <w:fldChar w:fldCharType="separate"/>
      </w:r>
      <w:r>
        <w:rPr>
          <w:rFonts w:hint="eastAsia" w:ascii="Times New Roman" w:hAnsi="Times New Roman" w:eastAsia="黑体"/>
        </w:rPr>
        <w:t>十、其他重要事项的情况说明</w:t>
      </w:r>
      <w:r>
        <w:tab/>
      </w:r>
      <w:r>
        <w:fldChar w:fldCharType="begin"/>
      </w:r>
      <w:r>
        <w:instrText xml:space="preserve"> PAGEREF _Toc24431 \h </w:instrText>
      </w:r>
      <w:r>
        <w:fldChar w:fldCharType="separate"/>
      </w:r>
      <w:r>
        <w:t>8</w:t>
      </w:r>
      <w:r>
        <w:fldChar w:fldCharType="end"/>
      </w:r>
      <w:r>
        <w:fldChar w:fldCharType="end"/>
      </w:r>
    </w:p>
    <w:p w14:paraId="21B14018">
      <w:pPr>
        <w:pStyle w:val="14"/>
        <w:tabs>
          <w:tab w:val="right" w:leader="dot" w:pos="8306"/>
          <w:tab w:val="clear" w:pos="8296"/>
        </w:tabs>
      </w:pPr>
      <w:r>
        <w:fldChar w:fldCharType="begin"/>
      </w:r>
      <w:r>
        <w:instrText xml:space="preserve"> HYPERLINK \l _Toc5401 </w:instrText>
      </w:r>
      <w:r>
        <w:fldChar w:fldCharType="separate"/>
      </w:r>
      <w:r>
        <w:rPr>
          <w:rFonts w:hint="eastAsia" w:eastAsia="黑体"/>
          <w:szCs w:val="44"/>
        </w:rPr>
        <w:t>第三部分  名词解释</w:t>
      </w:r>
      <w:r>
        <w:tab/>
      </w:r>
      <w:r>
        <w:fldChar w:fldCharType="begin"/>
      </w:r>
      <w:r>
        <w:instrText xml:space="preserve"> PAGEREF _Toc5401 \h </w:instrText>
      </w:r>
      <w:r>
        <w:fldChar w:fldCharType="separate"/>
      </w:r>
      <w:r>
        <w:t>11</w:t>
      </w:r>
      <w:r>
        <w:fldChar w:fldCharType="end"/>
      </w:r>
      <w:r>
        <w:fldChar w:fldCharType="end"/>
      </w:r>
    </w:p>
    <w:p w14:paraId="41975A80">
      <w:pPr>
        <w:pStyle w:val="14"/>
        <w:tabs>
          <w:tab w:val="right" w:leader="dot" w:pos="8306"/>
          <w:tab w:val="clear" w:pos="8296"/>
        </w:tabs>
      </w:pPr>
      <w:r>
        <w:fldChar w:fldCharType="begin"/>
      </w:r>
      <w:r>
        <w:instrText xml:space="preserve"> HYPERLINK \l _Toc7018 </w:instrText>
      </w:r>
      <w:r>
        <w:fldChar w:fldCharType="separate"/>
      </w:r>
      <w:r>
        <w:rPr>
          <w:rFonts w:hint="eastAsia"/>
        </w:rPr>
        <w:t>第四部分</w:t>
      </w:r>
      <w:r>
        <w:rPr>
          <w:rFonts w:hint="eastAsia"/>
          <w:lang w:val="en-US" w:eastAsia="zh-CN"/>
        </w:rPr>
        <w:t xml:space="preserve"> </w:t>
      </w:r>
      <w:r>
        <w:rPr>
          <w:rFonts w:hint="eastAsia"/>
        </w:rPr>
        <w:t xml:space="preserve"> 附件</w:t>
      </w:r>
      <w:r>
        <w:tab/>
      </w:r>
      <w:r>
        <w:fldChar w:fldCharType="begin"/>
      </w:r>
      <w:r>
        <w:instrText xml:space="preserve"> PAGEREF _Toc7018 \h </w:instrText>
      </w:r>
      <w:r>
        <w:fldChar w:fldCharType="separate"/>
      </w:r>
      <w:r>
        <w:t>15</w:t>
      </w:r>
      <w:r>
        <w:fldChar w:fldCharType="end"/>
      </w:r>
      <w:r>
        <w:fldChar w:fldCharType="end"/>
      </w:r>
    </w:p>
    <w:p w14:paraId="594C8665">
      <w:pPr>
        <w:pStyle w:val="14"/>
        <w:tabs>
          <w:tab w:val="right" w:leader="dot" w:pos="8306"/>
          <w:tab w:val="clear" w:pos="8296"/>
        </w:tabs>
      </w:pPr>
      <w:r>
        <w:fldChar w:fldCharType="begin"/>
      </w:r>
      <w:r>
        <w:instrText xml:space="preserve"> HYPERLINK \l _Toc25530 </w:instrText>
      </w:r>
      <w:r>
        <w:fldChar w:fldCharType="separate"/>
      </w:r>
      <w:r>
        <w:rPr>
          <w:rFonts w:hint="eastAsia"/>
        </w:rPr>
        <w:t>第五部分 附表</w:t>
      </w:r>
      <w:r>
        <w:tab/>
      </w:r>
      <w:r>
        <w:fldChar w:fldCharType="begin"/>
      </w:r>
      <w:r>
        <w:instrText xml:space="preserve"> PAGEREF _Toc25530 \h </w:instrText>
      </w:r>
      <w:r>
        <w:fldChar w:fldCharType="separate"/>
      </w:r>
      <w:r>
        <w:t>57</w:t>
      </w:r>
      <w:r>
        <w:fldChar w:fldCharType="end"/>
      </w:r>
      <w:r>
        <w:fldChar w:fldCharType="end"/>
      </w:r>
    </w:p>
    <w:p w14:paraId="25C58256">
      <w:pPr>
        <w:pStyle w:val="16"/>
        <w:tabs>
          <w:tab w:val="right" w:leader="dot" w:pos="8306"/>
          <w:tab w:val="clear" w:pos="8296"/>
        </w:tabs>
      </w:pPr>
      <w:r>
        <w:fldChar w:fldCharType="begin"/>
      </w:r>
      <w:r>
        <w:instrText xml:space="preserve"> HYPERLINK \l _Toc4676 </w:instrText>
      </w:r>
      <w:r>
        <w:fldChar w:fldCharType="separate"/>
      </w:r>
      <w:r>
        <w:rPr>
          <w:rFonts w:hint="eastAsia"/>
          <w:bCs w:val="0"/>
          <w:lang w:val="zh-CN" w:eastAsia="zh-CN"/>
        </w:rPr>
        <w:t>一、收入支出决算总表</w:t>
      </w:r>
      <w:r>
        <w:tab/>
      </w:r>
      <w:r>
        <w:fldChar w:fldCharType="begin"/>
      </w:r>
      <w:r>
        <w:instrText xml:space="preserve"> PAGEREF _Toc4676 \h </w:instrText>
      </w:r>
      <w:r>
        <w:fldChar w:fldCharType="separate"/>
      </w:r>
      <w:r>
        <w:t>57</w:t>
      </w:r>
      <w:r>
        <w:fldChar w:fldCharType="end"/>
      </w:r>
      <w:r>
        <w:fldChar w:fldCharType="end"/>
      </w:r>
    </w:p>
    <w:p w14:paraId="00404974">
      <w:pPr>
        <w:pStyle w:val="16"/>
        <w:tabs>
          <w:tab w:val="right" w:leader="dot" w:pos="8306"/>
          <w:tab w:val="clear" w:pos="8296"/>
        </w:tabs>
      </w:pPr>
      <w:r>
        <w:fldChar w:fldCharType="begin"/>
      </w:r>
      <w:r>
        <w:instrText xml:space="preserve"> HYPERLINK \l _Toc3832 </w:instrText>
      </w:r>
      <w:r>
        <w:fldChar w:fldCharType="separate"/>
      </w:r>
      <w:r>
        <w:rPr>
          <w:rFonts w:hint="eastAsia"/>
          <w:bCs w:val="0"/>
          <w:lang w:val="zh-CN" w:eastAsia="zh-CN"/>
        </w:rPr>
        <w:t>二、收入决算表</w:t>
      </w:r>
      <w:r>
        <w:tab/>
      </w:r>
      <w:r>
        <w:fldChar w:fldCharType="begin"/>
      </w:r>
      <w:r>
        <w:instrText xml:space="preserve"> PAGEREF _Toc3832 \h </w:instrText>
      </w:r>
      <w:r>
        <w:fldChar w:fldCharType="separate"/>
      </w:r>
      <w:r>
        <w:t>57</w:t>
      </w:r>
      <w:r>
        <w:fldChar w:fldCharType="end"/>
      </w:r>
      <w:r>
        <w:fldChar w:fldCharType="end"/>
      </w:r>
    </w:p>
    <w:p w14:paraId="0001FDD6">
      <w:pPr>
        <w:pStyle w:val="16"/>
        <w:tabs>
          <w:tab w:val="right" w:leader="dot" w:pos="8306"/>
          <w:tab w:val="clear" w:pos="8296"/>
        </w:tabs>
      </w:pPr>
      <w:r>
        <w:fldChar w:fldCharType="begin"/>
      </w:r>
      <w:r>
        <w:instrText xml:space="preserve"> HYPERLINK \l _Toc11731 </w:instrText>
      </w:r>
      <w:r>
        <w:fldChar w:fldCharType="separate"/>
      </w:r>
      <w:r>
        <w:rPr>
          <w:rFonts w:hint="eastAsia"/>
          <w:bCs w:val="0"/>
          <w:lang w:val="zh-CN" w:eastAsia="zh-CN"/>
        </w:rPr>
        <w:t>三、支出决算表</w:t>
      </w:r>
      <w:r>
        <w:tab/>
      </w:r>
      <w:r>
        <w:fldChar w:fldCharType="begin"/>
      </w:r>
      <w:r>
        <w:instrText xml:space="preserve"> PAGEREF _Toc11731 \h </w:instrText>
      </w:r>
      <w:r>
        <w:fldChar w:fldCharType="separate"/>
      </w:r>
      <w:r>
        <w:t>57</w:t>
      </w:r>
      <w:r>
        <w:fldChar w:fldCharType="end"/>
      </w:r>
      <w:r>
        <w:fldChar w:fldCharType="end"/>
      </w:r>
    </w:p>
    <w:p w14:paraId="41DF99BC">
      <w:pPr>
        <w:pStyle w:val="16"/>
        <w:tabs>
          <w:tab w:val="right" w:leader="dot" w:pos="8306"/>
          <w:tab w:val="clear" w:pos="8296"/>
        </w:tabs>
      </w:pPr>
      <w:r>
        <w:fldChar w:fldCharType="begin"/>
      </w:r>
      <w:r>
        <w:instrText xml:space="preserve"> HYPERLINK \l _Toc18572 </w:instrText>
      </w:r>
      <w:r>
        <w:fldChar w:fldCharType="separate"/>
      </w:r>
      <w:r>
        <w:rPr>
          <w:rFonts w:hint="eastAsia"/>
          <w:bCs w:val="0"/>
          <w:lang w:val="zh-CN" w:eastAsia="zh-CN"/>
        </w:rPr>
        <w:t>四、财政拨款收入支出决算总表</w:t>
      </w:r>
      <w:r>
        <w:tab/>
      </w:r>
      <w:r>
        <w:fldChar w:fldCharType="begin"/>
      </w:r>
      <w:r>
        <w:instrText xml:space="preserve"> PAGEREF _Toc18572 \h </w:instrText>
      </w:r>
      <w:r>
        <w:fldChar w:fldCharType="separate"/>
      </w:r>
      <w:r>
        <w:t>57</w:t>
      </w:r>
      <w:r>
        <w:fldChar w:fldCharType="end"/>
      </w:r>
      <w:r>
        <w:fldChar w:fldCharType="end"/>
      </w:r>
    </w:p>
    <w:p w14:paraId="57F7BA63">
      <w:pPr>
        <w:pStyle w:val="16"/>
        <w:tabs>
          <w:tab w:val="right" w:leader="dot" w:pos="8306"/>
          <w:tab w:val="clear" w:pos="8296"/>
        </w:tabs>
      </w:pPr>
      <w:r>
        <w:fldChar w:fldCharType="begin"/>
      </w:r>
      <w:r>
        <w:instrText xml:space="preserve"> HYPERLINK \l _Toc12280 </w:instrText>
      </w:r>
      <w:r>
        <w:fldChar w:fldCharType="separate"/>
      </w:r>
      <w:r>
        <w:rPr>
          <w:rFonts w:hint="eastAsia"/>
          <w:bCs w:val="0"/>
          <w:lang w:val="zh-CN" w:eastAsia="zh-CN"/>
        </w:rPr>
        <w:t>五、财政拨款支出决算明细表</w:t>
      </w:r>
      <w:r>
        <w:tab/>
      </w:r>
      <w:r>
        <w:fldChar w:fldCharType="begin"/>
      </w:r>
      <w:r>
        <w:instrText xml:space="preserve"> PAGEREF _Toc12280 \h </w:instrText>
      </w:r>
      <w:r>
        <w:fldChar w:fldCharType="separate"/>
      </w:r>
      <w:r>
        <w:t>57</w:t>
      </w:r>
      <w:r>
        <w:fldChar w:fldCharType="end"/>
      </w:r>
      <w:r>
        <w:fldChar w:fldCharType="end"/>
      </w:r>
    </w:p>
    <w:p w14:paraId="755A081C">
      <w:pPr>
        <w:pStyle w:val="16"/>
        <w:tabs>
          <w:tab w:val="right" w:leader="dot" w:pos="8306"/>
          <w:tab w:val="clear" w:pos="8296"/>
        </w:tabs>
      </w:pPr>
      <w:r>
        <w:fldChar w:fldCharType="begin"/>
      </w:r>
      <w:r>
        <w:instrText xml:space="preserve"> HYPERLINK \l _Toc15009 </w:instrText>
      </w:r>
      <w:r>
        <w:fldChar w:fldCharType="separate"/>
      </w:r>
      <w:r>
        <w:rPr>
          <w:rFonts w:hint="eastAsia"/>
          <w:bCs w:val="0"/>
          <w:lang w:val="zh-CN" w:eastAsia="zh-CN"/>
        </w:rPr>
        <w:t>六、一般公共预算财政拨款支出决算表</w:t>
      </w:r>
      <w:r>
        <w:tab/>
      </w:r>
      <w:r>
        <w:fldChar w:fldCharType="begin"/>
      </w:r>
      <w:r>
        <w:instrText xml:space="preserve"> PAGEREF _Toc15009 \h </w:instrText>
      </w:r>
      <w:r>
        <w:fldChar w:fldCharType="separate"/>
      </w:r>
      <w:r>
        <w:t>57</w:t>
      </w:r>
      <w:r>
        <w:fldChar w:fldCharType="end"/>
      </w:r>
      <w:r>
        <w:fldChar w:fldCharType="end"/>
      </w:r>
    </w:p>
    <w:p w14:paraId="671C5533">
      <w:pPr>
        <w:pStyle w:val="16"/>
        <w:tabs>
          <w:tab w:val="right" w:leader="dot" w:pos="8306"/>
          <w:tab w:val="clear" w:pos="8296"/>
        </w:tabs>
      </w:pPr>
      <w:r>
        <w:fldChar w:fldCharType="begin"/>
      </w:r>
      <w:r>
        <w:instrText xml:space="preserve"> HYPERLINK \l _Toc24780 </w:instrText>
      </w:r>
      <w:r>
        <w:fldChar w:fldCharType="separate"/>
      </w:r>
      <w:r>
        <w:rPr>
          <w:rFonts w:hint="eastAsia"/>
          <w:bCs w:val="0"/>
          <w:lang w:val="zh-CN" w:eastAsia="zh-CN"/>
        </w:rPr>
        <w:t>七、一般公共预算财政拨款支出决算明细表</w:t>
      </w:r>
      <w:r>
        <w:tab/>
      </w:r>
      <w:r>
        <w:fldChar w:fldCharType="begin"/>
      </w:r>
      <w:r>
        <w:instrText xml:space="preserve"> PAGEREF _Toc24780 \h </w:instrText>
      </w:r>
      <w:r>
        <w:fldChar w:fldCharType="separate"/>
      </w:r>
      <w:r>
        <w:t>57</w:t>
      </w:r>
      <w:r>
        <w:fldChar w:fldCharType="end"/>
      </w:r>
      <w:r>
        <w:fldChar w:fldCharType="end"/>
      </w:r>
    </w:p>
    <w:p w14:paraId="0D63948A">
      <w:pPr>
        <w:pStyle w:val="16"/>
        <w:tabs>
          <w:tab w:val="right" w:leader="dot" w:pos="8306"/>
          <w:tab w:val="clear" w:pos="8296"/>
        </w:tabs>
      </w:pPr>
      <w:r>
        <w:fldChar w:fldCharType="begin"/>
      </w:r>
      <w:r>
        <w:instrText xml:space="preserve"> HYPERLINK \l _Toc16644 </w:instrText>
      </w:r>
      <w:r>
        <w:fldChar w:fldCharType="separate"/>
      </w:r>
      <w:r>
        <w:rPr>
          <w:rFonts w:hint="eastAsia"/>
          <w:bCs w:val="0"/>
          <w:lang w:val="zh-CN" w:eastAsia="zh-CN"/>
        </w:rPr>
        <w:t>八、一般公共预算财政拨款基本支出决算表</w:t>
      </w:r>
      <w:r>
        <w:tab/>
      </w:r>
      <w:r>
        <w:fldChar w:fldCharType="begin"/>
      </w:r>
      <w:r>
        <w:instrText xml:space="preserve"> PAGEREF _Toc16644 \h </w:instrText>
      </w:r>
      <w:r>
        <w:fldChar w:fldCharType="separate"/>
      </w:r>
      <w:r>
        <w:t>57</w:t>
      </w:r>
      <w:r>
        <w:fldChar w:fldCharType="end"/>
      </w:r>
      <w:r>
        <w:fldChar w:fldCharType="end"/>
      </w:r>
    </w:p>
    <w:p w14:paraId="5CCF4318">
      <w:pPr>
        <w:pStyle w:val="16"/>
        <w:tabs>
          <w:tab w:val="right" w:leader="dot" w:pos="8306"/>
          <w:tab w:val="clear" w:pos="8296"/>
        </w:tabs>
      </w:pPr>
      <w:r>
        <w:fldChar w:fldCharType="begin"/>
      </w:r>
      <w:r>
        <w:instrText xml:space="preserve"> HYPERLINK \l _Toc30881 </w:instrText>
      </w:r>
      <w:r>
        <w:fldChar w:fldCharType="separate"/>
      </w:r>
      <w:r>
        <w:rPr>
          <w:rFonts w:hint="eastAsia"/>
          <w:bCs w:val="0"/>
          <w:lang w:val="zh-CN" w:eastAsia="zh-CN"/>
        </w:rPr>
        <w:t>九、一般公共预算财政拨款项目支出决算表</w:t>
      </w:r>
      <w:r>
        <w:tab/>
      </w:r>
      <w:r>
        <w:fldChar w:fldCharType="begin"/>
      </w:r>
      <w:r>
        <w:instrText xml:space="preserve"> PAGEREF _Toc30881 \h </w:instrText>
      </w:r>
      <w:r>
        <w:fldChar w:fldCharType="separate"/>
      </w:r>
      <w:r>
        <w:t>57</w:t>
      </w:r>
      <w:r>
        <w:fldChar w:fldCharType="end"/>
      </w:r>
      <w:r>
        <w:fldChar w:fldCharType="end"/>
      </w:r>
    </w:p>
    <w:p w14:paraId="6F19BF81">
      <w:pPr>
        <w:pStyle w:val="16"/>
        <w:tabs>
          <w:tab w:val="right" w:leader="dot" w:pos="8306"/>
          <w:tab w:val="clear" w:pos="8296"/>
        </w:tabs>
      </w:pPr>
      <w:r>
        <w:fldChar w:fldCharType="begin"/>
      </w:r>
      <w:r>
        <w:instrText xml:space="preserve"> HYPERLINK \l _Toc6061 </w:instrText>
      </w:r>
      <w:r>
        <w:fldChar w:fldCharType="separate"/>
      </w:r>
      <w:r>
        <w:rPr>
          <w:rFonts w:hint="eastAsia"/>
          <w:bCs w:val="0"/>
          <w:lang w:val="zh-CN" w:eastAsia="zh-CN"/>
        </w:rPr>
        <w:t>十、政府性基金预算财政拨款收入支出决算表（此表无数据）</w:t>
      </w:r>
      <w:r>
        <w:tab/>
      </w:r>
      <w:r>
        <w:fldChar w:fldCharType="begin"/>
      </w:r>
      <w:r>
        <w:instrText xml:space="preserve"> PAGEREF _Toc6061 \h </w:instrText>
      </w:r>
      <w:r>
        <w:fldChar w:fldCharType="separate"/>
      </w:r>
      <w:r>
        <w:t>57</w:t>
      </w:r>
      <w:r>
        <w:fldChar w:fldCharType="end"/>
      </w:r>
      <w:r>
        <w:fldChar w:fldCharType="end"/>
      </w:r>
    </w:p>
    <w:p w14:paraId="706192E3">
      <w:pPr>
        <w:pStyle w:val="16"/>
        <w:tabs>
          <w:tab w:val="right" w:leader="dot" w:pos="8306"/>
          <w:tab w:val="clear" w:pos="8296"/>
        </w:tabs>
      </w:pPr>
      <w:r>
        <w:fldChar w:fldCharType="begin"/>
      </w:r>
      <w:r>
        <w:instrText xml:space="preserve"> HYPERLINK \l _Toc15564 </w:instrText>
      </w:r>
      <w:r>
        <w:fldChar w:fldCharType="separate"/>
      </w:r>
      <w:r>
        <w:rPr>
          <w:rFonts w:hint="eastAsia"/>
          <w:bCs w:val="0"/>
          <w:lang w:val="zh-CN" w:eastAsia="zh-CN"/>
        </w:rPr>
        <w:t>十一、国有资本经营预算财政拨款收入支出决算表（此表无数据）</w:t>
      </w:r>
      <w:r>
        <w:tab/>
      </w:r>
      <w:r>
        <w:fldChar w:fldCharType="begin"/>
      </w:r>
      <w:r>
        <w:instrText xml:space="preserve"> PAGEREF _Toc15564 \h </w:instrText>
      </w:r>
      <w:r>
        <w:fldChar w:fldCharType="separate"/>
      </w:r>
      <w:r>
        <w:t>57</w:t>
      </w:r>
      <w:r>
        <w:fldChar w:fldCharType="end"/>
      </w:r>
      <w:r>
        <w:fldChar w:fldCharType="end"/>
      </w:r>
    </w:p>
    <w:p w14:paraId="3B24E690">
      <w:pPr>
        <w:pStyle w:val="16"/>
        <w:tabs>
          <w:tab w:val="right" w:leader="dot" w:pos="8306"/>
          <w:tab w:val="clear" w:pos="8296"/>
        </w:tabs>
      </w:pPr>
      <w:r>
        <w:fldChar w:fldCharType="begin"/>
      </w:r>
      <w:r>
        <w:instrText xml:space="preserve"> HYPERLINK \l _Toc2774 </w:instrText>
      </w:r>
      <w:r>
        <w:fldChar w:fldCharType="separate"/>
      </w:r>
      <w:r>
        <w:rPr>
          <w:rFonts w:hint="eastAsia"/>
          <w:bCs w:val="0"/>
          <w:lang w:val="zh-CN" w:eastAsia="zh-CN"/>
        </w:rPr>
        <w:t>十二、国有资本经营预算财政拨款支出决算表（此表无数据）</w:t>
      </w:r>
      <w:r>
        <w:tab/>
      </w:r>
      <w:r>
        <w:fldChar w:fldCharType="begin"/>
      </w:r>
      <w:r>
        <w:instrText xml:space="preserve"> PAGEREF _Toc2774 \h </w:instrText>
      </w:r>
      <w:r>
        <w:fldChar w:fldCharType="separate"/>
      </w:r>
      <w:r>
        <w:t>57</w:t>
      </w:r>
      <w:r>
        <w:fldChar w:fldCharType="end"/>
      </w:r>
      <w:r>
        <w:fldChar w:fldCharType="end"/>
      </w:r>
    </w:p>
    <w:p w14:paraId="5EFAC289">
      <w:pPr>
        <w:pStyle w:val="16"/>
        <w:tabs>
          <w:tab w:val="right" w:leader="dot" w:pos="8306"/>
          <w:tab w:val="clear" w:pos="8296"/>
        </w:tabs>
      </w:pPr>
      <w:r>
        <w:fldChar w:fldCharType="begin"/>
      </w:r>
      <w:r>
        <w:instrText xml:space="preserve"> HYPERLINK \l _Toc23541 </w:instrText>
      </w:r>
      <w:r>
        <w:fldChar w:fldCharType="separate"/>
      </w:r>
      <w:r>
        <w:rPr>
          <w:rFonts w:hint="eastAsia"/>
          <w:bCs w:val="0"/>
          <w:lang w:val="zh-CN" w:eastAsia="zh-CN"/>
        </w:rPr>
        <w:t>十三、财政拨款“三公”经费支出决算表（此表无数据）</w:t>
      </w:r>
      <w:r>
        <w:tab/>
      </w:r>
      <w:r>
        <w:fldChar w:fldCharType="begin"/>
      </w:r>
      <w:r>
        <w:instrText xml:space="preserve"> PAGEREF _Toc23541 \h </w:instrText>
      </w:r>
      <w:r>
        <w:fldChar w:fldCharType="separate"/>
      </w:r>
      <w:r>
        <w:t>57</w:t>
      </w:r>
      <w:r>
        <w:fldChar w:fldCharType="end"/>
      </w:r>
      <w:r>
        <w:fldChar w:fldCharType="end"/>
      </w:r>
    </w:p>
    <w:p w14:paraId="28DD3DA7">
      <w:r>
        <w:fldChar w:fldCharType="end"/>
      </w:r>
    </w:p>
    <w:p w14:paraId="13874FFC">
      <w:pPr>
        <w:pStyle w:val="3"/>
        <w:jc w:val="center"/>
        <w:rPr>
          <w:rFonts w:hint="eastAsia" w:eastAsia="方正小标宋简体" w:cs="方正小标宋简体"/>
          <w:b w:val="0"/>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044243BD">
      <w:pPr>
        <w:pStyle w:val="3"/>
        <w:jc w:val="center"/>
        <w:rPr>
          <w:rStyle w:val="30"/>
          <w:rFonts w:eastAsia="方正小标宋简体" w:cs="方正小标宋简体"/>
          <w:b/>
          <w:bCs w:val="0"/>
        </w:rPr>
      </w:pPr>
      <w:bookmarkStart w:id="9" w:name="_Toc26435"/>
      <w:bookmarkStart w:id="10" w:name="_Toc20689"/>
      <w:r>
        <w:rPr>
          <w:rFonts w:hint="eastAsia" w:eastAsia="方正小标宋简体" w:cs="方正小标宋简体"/>
          <w:b w:val="0"/>
        </w:rPr>
        <w:t xml:space="preserve">第一部分  </w:t>
      </w:r>
      <w:r>
        <w:rPr>
          <w:rStyle w:val="30"/>
          <w:rFonts w:hint="eastAsia" w:eastAsia="方正小标宋简体" w:cs="方正小标宋简体"/>
          <w:b w:val="0"/>
          <w:bCs w:val="0"/>
        </w:rPr>
        <w:t>部门概况</w:t>
      </w:r>
      <w:bookmarkEnd w:id="7"/>
      <w:bookmarkEnd w:id="8"/>
      <w:bookmarkEnd w:id="9"/>
      <w:bookmarkEnd w:id="10"/>
    </w:p>
    <w:p w14:paraId="5F3130DB">
      <w:pPr>
        <w:widowControl/>
        <w:jc w:val="left"/>
        <w:rPr>
          <w:rFonts w:eastAsia="黑体"/>
          <w:sz w:val="32"/>
          <w:szCs w:val="32"/>
        </w:rPr>
      </w:pPr>
    </w:p>
    <w:p w14:paraId="2D63071E">
      <w:pPr>
        <w:ind w:firstLine="640" w:firstLineChars="200"/>
        <w:rPr>
          <w:rStyle w:val="31"/>
          <w:rFonts w:hint="eastAsia" w:ascii="Times New Roman" w:hAnsi="Times New Roman" w:eastAsia="黑体"/>
          <w:b w:val="0"/>
          <w:bCs w:val="0"/>
        </w:rPr>
      </w:pPr>
      <w:bookmarkStart w:id="11" w:name="_Toc30335"/>
      <w:bookmarkStart w:id="12" w:name="_Toc14449"/>
      <w:r>
        <w:rPr>
          <w:rStyle w:val="31"/>
          <w:rFonts w:hint="eastAsia" w:ascii="Times New Roman" w:hAnsi="Times New Roman" w:eastAsia="黑体"/>
          <w:b w:val="0"/>
          <w:bCs w:val="0"/>
          <w:lang w:eastAsia="zh-CN"/>
        </w:rPr>
        <w:t>一、</w:t>
      </w:r>
      <w:r>
        <w:rPr>
          <w:rStyle w:val="31"/>
          <w:rFonts w:hint="eastAsia" w:ascii="Times New Roman" w:hAnsi="Times New Roman" w:eastAsia="黑体"/>
          <w:b w:val="0"/>
          <w:bCs w:val="0"/>
        </w:rPr>
        <w:t>部门职责</w:t>
      </w:r>
    </w:p>
    <w:bookmarkEnd w:id="11"/>
    <w:bookmarkEnd w:id="12"/>
    <w:p w14:paraId="60FD7E93">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职能参照省政</w:t>
      </w:r>
      <w:r>
        <w:rPr>
          <w:rFonts w:hint="eastAsia" w:ascii="仿宋_GB2312" w:hAnsi="仿宋_GB2312" w:eastAsia="仿宋_GB2312" w:cs="仿宋_GB2312"/>
          <w:b w:val="0"/>
          <w:bCs w:val="0"/>
          <w:color w:val="000000"/>
          <w:sz w:val="32"/>
          <w:szCs w:val="32"/>
        </w:rPr>
        <w:t>府批准的</w:t>
      </w:r>
      <w:r>
        <w:rPr>
          <w:rFonts w:hint="eastAsia" w:ascii="仿宋_GB2312" w:hAnsi="仿宋_GB2312" w:eastAsia="仿宋_GB2312" w:cs="仿宋_GB2312"/>
          <w:b w:val="0"/>
          <w:bCs w:val="0"/>
          <w:color w:val="000000"/>
          <w:sz w:val="32"/>
          <w:szCs w:val="32"/>
          <w:lang w:eastAsia="zh-CN"/>
        </w:rPr>
        <w:t>“三定”</w:t>
      </w:r>
      <w:r>
        <w:rPr>
          <w:rFonts w:hint="eastAsia" w:ascii="仿宋_GB2312" w:hAnsi="仿宋_GB2312" w:eastAsia="仿宋_GB2312" w:cs="仿宋_GB2312"/>
          <w:b w:val="0"/>
          <w:bCs w:val="0"/>
          <w:color w:val="000000"/>
          <w:sz w:val="32"/>
          <w:szCs w:val="32"/>
        </w:rPr>
        <w:t>方案</w:t>
      </w:r>
      <w:r>
        <w:rPr>
          <w:rFonts w:hint="eastAsia" w:ascii="仿宋_GB2312" w:hAnsi="仿宋_GB2312" w:eastAsia="仿宋_GB2312" w:cs="仿宋_GB2312"/>
          <w:b w:val="0"/>
          <w:bCs w:val="0"/>
          <w:color w:val="000000"/>
          <w:sz w:val="32"/>
          <w:szCs w:val="32"/>
          <w:lang w:eastAsia="zh-CN"/>
        </w:rPr>
        <w:t>：四川省</w:t>
      </w:r>
      <w:r>
        <w:rPr>
          <w:rFonts w:hint="eastAsia" w:ascii="仿宋_GB2312" w:hAnsi="仿宋_GB2312" w:eastAsia="仿宋_GB2312" w:cs="仿宋_GB2312"/>
          <w:color w:val="000000"/>
          <w:sz w:val="32"/>
          <w:szCs w:val="32"/>
        </w:rPr>
        <w:t>攀枝花市中西医结合医院是集医疗、预防、保健</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健康教育、科研、教学为一体的三级甲等中西医结合医院。主要服务攀枝花市百万人口，辐射云南省华坪、宁蒗、</w:t>
      </w:r>
      <w:r>
        <w:rPr>
          <w:rFonts w:hint="eastAsia" w:ascii="仿宋_GB2312" w:hAnsi="仿宋_GB2312" w:eastAsia="仿宋_GB2312" w:cs="仿宋_GB2312"/>
          <w:color w:val="000000"/>
          <w:sz w:val="32"/>
          <w:szCs w:val="32"/>
          <w:lang w:val="en-US" w:eastAsia="zh-CN"/>
        </w:rPr>
        <w:t>永胜、</w:t>
      </w:r>
      <w:r>
        <w:rPr>
          <w:rFonts w:hint="eastAsia" w:ascii="仿宋_GB2312" w:hAnsi="仿宋_GB2312" w:eastAsia="仿宋_GB2312" w:cs="仿宋_GB2312"/>
          <w:color w:val="000000"/>
          <w:sz w:val="32"/>
          <w:szCs w:val="32"/>
        </w:rPr>
        <w:t>凉山州会理、会东、</w:t>
      </w:r>
      <w:r>
        <w:rPr>
          <w:rFonts w:hint="eastAsia" w:ascii="仿宋_GB2312" w:hAnsi="仿宋_GB2312" w:eastAsia="仿宋_GB2312" w:cs="仿宋_GB2312"/>
          <w:color w:val="000000"/>
          <w:sz w:val="32"/>
          <w:szCs w:val="32"/>
          <w:lang w:eastAsia="zh-CN"/>
        </w:rPr>
        <w:t>宁南、</w:t>
      </w:r>
      <w:r>
        <w:rPr>
          <w:rFonts w:hint="eastAsia" w:ascii="仿宋_GB2312" w:hAnsi="仿宋_GB2312" w:eastAsia="仿宋_GB2312" w:cs="仿宋_GB2312"/>
          <w:color w:val="000000"/>
          <w:sz w:val="32"/>
          <w:szCs w:val="32"/>
        </w:rPr>
        <w:t>德昌、盐源、木里等县，承担医疗、预防、保健工作</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市内传染病、职业病和非传染性慢性病的防控，群众健康教育工作</w:t>
      </w:r>
      <w:r>
        <w:rPr>
          <w:rFonts w:hint="eastAsia" w:ascii="仿宋_GB2312" w:hAnsi="仿宋_GB2312" w:eastAsia="仿宋_GB2312" w:cs="仿宋_GB2312"/>
          <w:color w:val="000000"/>
          <w:sz w:val="32"/>
          <w:szCs w:val="32"/>
          <w:lang w:eastAsia="zh-CN"/>
        </w:rPr>
        <w:t>，以及</w:t>
      </w:r>
      <w:r>
        <w:rPr>
          <w:rFonts w:hint="eastAsia" w:ascii="仿宋_GB2312" w:hAnsi="仿宋_GB2312" w:eastAsia="仿宋_GB2312" w:cs="仿宋_GB2312"/>
          <w:color w:val="000000"/>
          <w:sz w:val="32"/>
          <w:szCs w:val="32"/>
        </w:rPr>
        <w:t>应对各种突发性公共卫生事件和医疗</w:t>
      </w:r>
      <w:r>
        <w:rPr>
          <w:rFonts w:hint="eastAsia" w:ascii="仿宋_GB2312" w:hAnsi="仿宋_GB2312" w:eastAsia="仿宋_GB2312" w:cs="仿宋_GB2312"/>
          <w:color w:val="000000"/>
          <w:sz w:val="32"/>
          <w:szCs w:val="32"/>
          <w:lang w:eastAsia="zh-CN"/>
        </w:rPr>
        <w:t>抢救工作。</w:t>
      </w:r>
      <w:bookmarkStart w:id="13" w:name="_Toc15377200"/>
      <w:bookmarkStart w:id="14" w:name="_Toc15396601"/>
    </w:p>
    <w:p w14:paraId="5BB06DB2">
      <w:pPr>
        <w:ind w:firstLine="640" w:firstLineChars="200"/>
        <w:rPr>
          <w:rStyle w:val="31"/>
          <w:rFonts w:ascii="Times New Roman" w:hAnsi="Times New Roman"/>
          <w:b w:val="0"/>
          <w:bCs w:val="0"/>
        </w:rPr>
      </w:pPr>
      <w:bookmarkStart w:id="15" w:name="_Toc26112"/>
      <w:bookmarkStart w:id="16" w:name="_Toc29918"/>
      <w:r>
        <w:rPr>
          <w:rStyle w:val="31"/>
          <w:rFonts w:hint="eastAsia" w:ascii="Times New Roman" w:hAnsi="Times New Roman" w:eastAsia="黑体"/>
          <w:b w:val="0"/>
          <w:bCs w:val="0"/>
        </w:rPr>
        <w:t>二、机构设置</w:t>
      </w:r>
      <w:bookmarkEnd w:id="13"/>
      <w:bookmarkEnd w:id="14"/>
    </w:p>
    <w:bookmarkEnd w:id="15"/>
    <w:bookmarkEnd w:id="16"/>
    <w:p w14:paraId="3C62FD7A">
      <w:pPr>
        <w:ind w:firstLine="800" w:firstLineChars="250"/>
        <w:rPr>
          <w:rFonts w:eastAsia="仿宋_GB2312" w:cs="仿宋_GB2312"/>
          <w:sz w:val="32"/>
          <w:szCs w:val="32"/>
        </w:rPr>
      </w:pPr>
      <w:r>
        <w:rPr>
          <w:rFonts w:hint="eastAsia" w:ascii="仿宋_GB2312" w:hAnsi="仿宋_GB2312" w:eastAsia="仿宋_GB2312" w:cs="仿宋_GB2312"/>
          <w:color w:val="auto"/>
          <w:sz w:val="32"/>
          <w:szCs w:val="32"/>
          <w:highlight w:val="none"/>
        </w:rPr>
        <w:t>四川省攀枝花市中西医结合医院</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14:paraId="502F1EDF">
      <w:pPr>
        <w:pStyle w:val="6"/>
        <w:adjustRightInd w:val="0"/>
        <w:snapToGrid w:val="0"/>
        <w:spacing w:before="93" w:line="600" w:lineRule="exact"/>
        <w:ind w:firstLine="672" w:firstLineChars="210"/>
        <w:rPr>
          <w:rFonts w:hint="eastAsia" w:ascii="Times New Roman" w:eastAsia="仿宋_GB2312" w:cs="仿宋_GB2312"/>
          <w:sz w:val="32"/>
          <w:szCs w:val="32"/>
          <w:lang w:eastAsia="zh-CN"/>
        </w:rPr>
      </w:pPr>
      <w:r>
        <w:rPr>
          <w:rFonts w:hint="eastAsia" w:ascii="Times New Roman" w:cs="仿宋_GB2312"/>
          <w:sz w:val="32"/>
          <w:szCs w:val="32"/>
        </w:rPr>
        <w:t>纳入</w:t>
      </w:r>
      <w:r>
        <w:rPr>
          <w:sz w:val="32"/>
          <w:szCs w:val="32"/>
        </w:rPr>
        <w:t>四川省攀枝花市中西医结合医院</w:t>
      </w:r>
      <w:r>
        <w:rPr>
          <w:rFonts w:hint="eastAsia" w:ascii="Times New Roman" w:cs="仿宋_GB2312"/>
          <w:sz w:val="32"/>
          <w:szCs w:val="32"/>
        </w:rPr>
        <w:t>2025年度部门决算编制范围的二级预算</w:t>
      </w:r>
      <w:r>
        <w:rPr>
          <w:rFonts w:hint="eastAsia" w:ascii="Times New Roman" w:cs="仿宋_GB2312"/>
          <w:sz w:val="32"/>
          <w:szCs w:val="32"/>
          <w:lang w:eastAsia="zh-CN"/>
        </w:rPr>
        <w:t>单位无。</w:t>
      </w:r>
    </w:p>
    <w:p w14:paraId="55F45DF9">
      <w:pPr>
        <w:widowControl/>
        <w:jc w:val="left"/>
        <w:rPr>
          <w:rFonts w:eastAsia="仿宋"/>
          <w:kern w:val="0"/>
          <w:sz w:val="32"/>
          <w:szCs w:val="32"/>
        </w:rPr>
      </w:pPr>
      <w:r>
        <w:rPr>
          <w:rFonts w:eastAsia="仿宋"/>
          <w:sz w:val="32"/>
          <w:szCs w:val="32"/>
        </w:rPr>
        <w:br w:type="page"/>
      </w:r>
    </w:p>
    <w:p w14:paraId="6E12F39A">
      <w:pPr>
        <w:pStyle w:val="3"/>
        <w:jc w:val="center"/>
        <w:rPr>
          <w:rFonts w:eastAsia="方正小标宋简体" w:cs="方正小标宋简体"/>
          <w:b w:val="0"/>
        </w:rPr>
      </w:pPr>
      <w:bookmarkStart w:id="17" w:name="_Toc11466"/>
      <w:bookmarkStart w:id="18" w:name="_Toc4252"/>
      <w:bookmarkStart w:id="19" w:name="_Toc15377204"/>
      <w:bookmarkStart w:id="20" w:name="_Toc15396602"/>
      <w:r>
        <w:rPr>
          <w:rFonts w:hint="eastAsia" w:eastAsia="方正小标宋简体" w:cs="方正小标宋简体"/>
          <w:b w:val="0"/>
        </w:rPr>
        <w:t>第二部分  2025年度部门决算情况说明</w:t>
      </w:r>
      <w:bookmarkEnd w:id="17"/>
      <w:bookmarkEnd w:id="18"/>
      <w:bookmarkEnd w:id="19"/>
      <w:bookmarkEnd w:id="20"/>
    </w:p>
    <w:p w14:paraId="066A08A1"/>
    <w:p w14:paraId="575E9630">
      <w:pPr>
        <w:pStyle w:val="29"/>
        <w:spacing w:line="600" w:lineRule="exact"/>
        <w:ind w:firstLine="640"/>
        <w:outlineLvl w:val="1"/>
        <w:rPr>
          <w:rStyle w:val="31"/>
          <w:rFonts w:ascii="Times New Roman" w:hAnsi="Times New Roman" w:eastAsia="黑体"/>
          <w:b w:val="0"/>
        </w:rPr>
      </w:pPr>
      <w:bookmarkStart w:id="21" w:name="_Toc15396603"/>
      <w:bookmarkStart w:id="22" w:name="_Toc2433"/>
      <w:bookmarkStart w:id="23" w:name="_Toc4535"/>
      <w:bookmarkStart w:id="24" w:name="_Toc15377205"/>
      <w:r>
        <w:rPr>
          <w:rFonts w:hint="eastAsia" w:eastAsia="黑体"/>
          <w:sz w:val="32"/>
          <w:szCs w:val="32"/>
        </w:rPr>
        <w:t>一、收</w:t>
      </w:r>
      <w:r>
        <w:rPr>
          <w:rStyle w:val="31"/>
          <w:rFonts w:hint="eastAsia" w:ascii="Times New Roman" w:hAnsi="Times New Roman" w:eastAsia="黑体"/>
          <w:b w:val="0"/>
        </w:rPr>
        <w:t>入支出决算总体情况说明</w:t>
      </w:r>
      <w:bookmarkEnd w:id="21"/>
      <w:bookmarkEnd w:id="22"/>
      <w:bookmarkEnd w:id="23"/>
      <w:bookmarkEnd w:id="24"/>
    </w:p>
    <w:p w14:paraId="2532CB3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5" w:name="_Toc15590"/>
      <w:bookmarkStart w:id="26" w:name="_Toc14715"/>
      <w:bookmarkStart w:id="27" w:name="_Toc2945"/>
      <w:bookmarkStart w:id="28" w:name="_Toc9202"/>
      <w:r>
        <w:rPr>
          <w:rFonts w:hint="eastAsia" w:eastAsia="仿宋_GB2312" w:cs="仿宋_GB2312"/>
          <w:sz w:val="32"/>
          <w:szCs w:val="32"/>
        </w:rPr>
        <w:t>2025年度收入、支出总计均为</w:t>
      </w:r>
      <w:r>
        <w:rPr>
          <w:rFonts w:hint="eastAsia" w:eastAsia="仿宋_GB2312" w:cs="仿宋_GB2312"/>
          <w:sz w:val="32"/>
          <w:szCs w:val="32"/>
          <w:lang w:val="en-US" w:eastAsia="zh-CN"/>
        </w:rPr>
        <w:t>113900.62</w:t>
      </w:r>
      <w:r>
        <w:rPr>
          <w:rFonts w:hint="eastAsia" w:eastAsia="仿宋_GB2312" w:cs="仿宋_GB2312"/>
          <w:sz w:val="32"/>
          <w:szCs w:val="32"/>
        </w:rPr>
        <w:t>万元。与上年度相比，收入、支出总计各增加/减少</w:t>
      </w:r>
      <w:r>
        <w:rPr>
          <w:rFonts w:hint="eastAsia" w:eastAsia="仿宋_GB2312" w:cs="仿宋_GB2312"/>
          <w:sz w:val="32"/>
          <w:szCs w:val="32"/>
          <w:lang w:val="en-US" w:eastAsia="zh-CN"/>
        </w:rPr>
        <w:t>419.26</w:t>
      </w:r>
      <w:r>
        <w:rPr>
          <w:rFonts w:hint="eastAsia" w:eastAsia="仿宋_GB2312" w:cs="仿宋_GB2312"/>
          <w:sz w:val="32"/>
          <w:szCs w:val="32"/>
        </w:rPr>
        <w:t>万元，增长</w:t>
      </w:r>
      <w:r>
        <w:rPr>
          <w:rFonts w:hint="eastAsia" w:eastAsia="仿宋_GB2312" w:cs="仿宋_GB2312"/>
          <w:sz w:val="32"/>
          <w:szCs w:val="32"/>
          <w:lang w:val="en-US" w:eastAsia="zh-CN"/>
        </w:rPr>
        <w:t>0.4</w:t>
      </w:r>
      <w:r>
        <w:rPr>
          <w:rFonts w:hint="eastAsia" w:eastAsia="仿宋_GB2312" w:cs="仿宋_GB2312"/>
          <w:sz w:val="32"/>
          <w:szCs w:val="32"/>
        </w:rPr>
        <w:t>%。主要变动原因是</w:t>
      </w:r>
      <w:r>
        <w:rPr>
          <w:rFonts w:hint="eastAsia" w:eastAsia="仿宋_GB2312" w:cs="仿宋_GB2312"/>
          <w:color w:val="auto"/>
          <w:sz w:val="32"/>
          <w:szCs w:val="32"/>
          <w:highlight w:val="none"/>
          <w:lang w:eastAsia="zh-CN"/>
        </w:rPr>
        <w:t>区域影响力增加，患者增加导致收支总计相应增加。</w:t>
      </w:r>
      <w:bookmarkEnd w:id="25"/>
      <w:bookmarkEnd w:id="26"/>
      <w:bookmarkEnd w:id="27"/>
      <w:bookmarkEnd w:id="28"/>
    </w:p>
    <w:p w14:paraId="0D9C3524">
      <w:pPr>
        <w:pStyle w:val="29"/>
        <w:spacing w:line="600" w:lineRule="exact"/>
        <w:ind w:firstLine="640"/>
        <w:outlineLvl w:val="1"/>
        <w:rPr>
          <w:rFonts w:hint="eastAsia" w:eastAsia="仿宋_GB2312" w:cs="仿宋_GB2312"/>
          <w:sz w:val="32"/>
          <w:szCs w:val="32"/>
        </w:rPr>
      </w:pPr>
      <w:bookmarkStart w:id="29" w:name="_Toc1672"/>
      <w:bookmarkStart w:id="30" w:name="_Toc8422"/>
      <w:bookmarkStart w:id="31" w:name="_Toc26402"/>
      <w:bookmarkStart w:id="32" w:name="_Toc292"/>
      <w:r>
        <w:rPr>
          <w:rFonts w:hint="eastAsia" w:eastAsia="仿宋_GB2312" w:cs="仿宋_GB2312"/>
          <w:sz w:val="32"/>
          <w:szCs w:val="32"/>
        </w:rPr>
        <w:t>（图1：收入、支出决算总计变动情况图）（柱状图）</w:t>
      </w:r>
      <w:bookmarkEnd w:id="29"/>
      <w:bookmarkEnd w:id="30"/>
      <w:bookmarkEnd w:id="31"/>
      <w:bookmarkEnd w:id="32"/>
    </w:p>
    <w:p w14:paraId="0AF340C1">
      <w:pPr>
        <w:pStyle w:val="29"/>
        <w:spacing w:line="600" w:lineRule="exact"/>
        <w:ind w:firstLine="640"/>
        <w:outlineLvl w:val="1"/>
        <w:rPr>
          <w:rFonts w:hint="eastAsia" w:eastAsia="仿宋_GB2312" w:cs="仿宋_GB2312"/>
          <w:sz w:val="32"/>
          <w:szCs w:val="32"/>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410845</wp:posOffset>
            </wp:positionH>
            <wp:positionV relativeFrom="paragraph">
              <wp:posOffset>106045</wp:posOffset>
            </wp:positionV>
            <wp:extent cx="4309110" cy="3237865"/>
            <wp:effectExtent l="4445" t="4445" r="17145" b="8890"/>
            <wp:wrapTight wrapText="bothSides">
              <wp:wrapPolygon>
                <wp:start x="-22" y="-30"/>
                <wp:lineTo x="-22" y="21575"/>
                <wp:lineTo x="21559" y="21575"/>
                <wp:lineTo x="21559" y="-30"/>
                <wp:lineTo x="-22" y="-30"/>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6B003917">
      <w:pPr>
        <w:pStyle w:val="29"/>
        <w:spacing w:line="600" w:lineRule="exact"/>
        <w:ind w:firstLine="640"/>
        <w:outlineLvl w:val="1"/>
        <w:rPr>
          <w:rFonts w:hint="eastAsia" w:eastAsia="仿宋_GB2312" w:cs="仿宋_GB2312"/>
          <w:sz w:val="32"/>
          <w:szCs w:val="32"/>
        </w:rPr>
      </w:pPr>
    </w:p>
    <w:p w14:paraId="38312F09">
      <w:pPr>
        <w:pStyle w:val="29"/>
        <w:spacing w:line="600" w:lineRule="exact"/>
        <w:ind w:firstLine="640"/>
        <w:outlineLvl w:val="1"/>
        <w:rPr>
          <w:rFonts w:hint="eastAsia" w:eastAsia="仿宋_GB2312" w:cs="仿宋_GB2312"/>
          <w:sz w:val="32"/>
          <w:szCs w:val="32"/>
        </w:rPr>
      </w:pPr>
    </w:p>
    <w:p w14:paraId="22FF7CDD">
      <w:pPr>
        <w:pStyle w:val="29"/>
        <w:spacing w:line="600" w:lineRule="exact"/>
        <w:ind w:firstLine="640"/>
        <w:outlineLvl w:val="1"/>
        <w:rPr>
          <w:rFonts w:hint="eastAsia" w:eastAsia="仿宋_GB2312" w:cs="仿宋_GB2312"/>
          <w:sz w:val="32"/>
          <w:szCs w:val="32"/>
        </w:rPr>
      </w:pPr>
    </w:p>
    <w:p w14:paraId="12164646">
      <w:pPr>
        <w:pStyle w:val="29"/>
        <w:spacing w:line="600" w:lineRule="exact"/>
        <w:ind w:firstLine="640"/>
        <w:outlineLvl w:val="1"/>
        <w:rPr>
          <w:rFonts w:hint="eastAsia" w:eastAsia="仿宋_GB2312" w:cs="仿宋_GB2312"/>
          <w:sz w:val="32"/>
          <w:szCs w:val="32"/>
        </w:rPr>
      </w:pPr>
    </w:p>
    <w:p w14:paraId="317CD890">
      <w:pPr>
        <w:pStyle w:val="29"/>
        <w:spacing w:line="600" w:lineRule="exact"/>
        <w:ind w:firstLine="640"/>
        <w:outlineLvl w:val="1"/>
        <w:rPr>
          <w:rFonts w:hint="eastAsia" w:eastAsia="仿宋_GB2312" w:cs="仿宋_GB2312"/>
          <w:sz w:val="32"/>
          <w:szCs w:val="32"/>
        </w:rPr>
      </w:pPr>
    </w:p>
    <w:p w14:paraId="33968148">
      <w:pPr>
        <w:pStyle w:val="29"/>
        <w:spacing w:line="600" w:lineRule="exact"/>
        <w:ind w:firstLine="640"/>
        <w:outlineLvl w:val="1"/>
        <w:rPr>
          <w:rFonts w:hint="eastAsia" w:eastAsia="仿宋_GB2312" w:cs="仿宋_GB2312"/>
          <w:sz w:val="32"/>
          <w:szCs w:val="32"/>
        </w:rPr>
      </w:pPr>
    </w:p>
    <w:p w14:paraId="69CC1869">
      <w:pPr>
        <w:pStyle w:val="29"/>
        <w:spacing w:line="600" w:lineRule="exact"/>
        <w:ind w:firstLine="640"/>
        <w:outlineLvl w:val="1"/>
        <w:rPr>
          <w:rFonts w:hint="eastAsia" w:eastAsia="仿宋_GB2312" w:cs="仿宋_GB2312"/>
          <w:sz w:val="32"/>
          <w:szCs w:val="32"/>
        </w:rPr>
      </w:pPr>
    </w:p>
    <w:p w14:paraId="7960B672">
      <w:pPr>
        <w:pStyle w:val="29"/>
        <w:spacing w:line="600" w:lineRule="exact"/>
        <w:ind w:firstLine="640"/>
        <w:outlineLvl w:val="1"/>
        <w:rPr>
          <w:rFonts w:hint="eastAsia" w:eastAsia="仿宋_GB2312" w:cs="仿宋_GB2312"/>
          <w:sz w:val="32"/>
          <w:szCs w:val="32"/>
        </w:rPr>
      </w:pPr>
    </w:p>
    <w:p w14:paraId="7FE8E30B">
      <w:pPr>
        <w:ind w:firstLine="640" w:firstLineChars="200"/>
        <w:rPr>
          <w:rFonts w:eastAsia="仿宋_GB2312" w:cs="仿宋_GB2312"/>
          <w:sz w:val="32"/>
          <w:szCs w:val="32"/>
        </w:rPr>
      </w:pPr>
    </w:p>
    <w:p w14:paraId="2ABD4BE1">
      <w:pPr>
        <w:pStyle w:val="29"/>
        <w:spacing w:line="600" w:lineRule="exact"/>
        <w:ind w:firstLine="640"/>
        <w:outlineLvl w:val="1"/>
        <w:rPr>
          <w:rFonts w:eastAsia="黑体"/>
          <w:sz w:val="32"/>
          <w:szCs w:val="32"/>
        </w:rPr>
      </w:pPr>
      <w:bookmarkStart w:id="33" w:name="_Toc21569"/>
      <w:bookmarkStart w:id="34" w:name="_Toc15377206"/>
      <w:bookmarkStart w:id="35" w:name="_Toc15396604"/>
      <w:bookmarkStart w:id="36" w:name="_Toc13176"/>
      <w:r>
        <w:rPr>
          <w:rFonts w:hint="eastAsia" w:eastAsia="黑体"/>
          <w:sz w:val="32"/>
          <w:szCs w:val="32"/>
        </w:rPr>
        <w:t>二、收入决算情况说明</w:t>
      </w:r>
      <w:bookmarkEnd w:id="33"/>
      <w:bookmarkEnd w:id="34"/>
      <w:bookmarkEnd w:id="35"/>
      <w:bookmarkEnd w:id="36"/>
    </w:p>
    <w:p w14:paraId="11D41B2E">
      <w:pPr>
        <w:pStyle w:val="29"/>
        <w:spacing w:line="600" w:lineRule="exact"/>
        <w:ind w:firstLine="640"/>
        <w:outlineLvl w:val="1"/>
        <w:rPr>
          <w:rFonts w:hint="eastAsia" w:ascii="Times New Roman" w:hAnsi="Times New Roman" w:eastAsia="仿宋_GB2312" w:cs="仿宋_GB2312"/>
          <w:sz w:val="32"/>
          <w:szCs w:val="32"/>
        </w:rPr>
      </w:pPr>
      <w:bookmarkStart w:id="37" w:name="_Toc16675"/>
      <w:bookmarkStart w:id="38" w:name="_Toc24251"/>
      <w:bookmarkStart w:id="39" w:name="_Toc6599"/>
      <w:bookmarkStart w:id="40" w:name="_Toc6656"/>
      <w:r>
        <w:rPr>
          <w:rFonts w:hint="eastAsia" w:eastAsia="仿宋_GB2312" w:cs="仿宋_GB2312"/>
          <w:sz w:val="32"/>
          <w:szCs w:val="32"/>
        </w:rPr>
        <w:t>2025年度本年收入合计</w:t>
      </w:r>
      <w:r>
        <w:rPr>
          <w:rFonts w:hint="eastAsia" w:ascii="Times New Roman" w:hAnsi="Times New Roman" w:eastAsia="仿宋_GB2312" w:cs="仿宋_GB2312"/>
          <w:sz w:val="32"/>
          <w:szCs w:val="32"/>
          <w:lang w:val="en-US" w:eastAsia="zh-CN"/>
        </w:rPr>
        <w:t>96275.4</w:t>
      </w:r>
      <w:r>
        <w:rPr>
          <w:rFonts w:hint="eastAsia" w:eastAsia="仿宋_GB2312" w:cs="仿宋_GB2312"/>
          <w:sz w:val="32"/>
          <w:szCs w:val="32"/>
          <w:lang w:val="en-US" w:eastAsia="zh-CN"/>
        </w:rPr>
        <w:t>7</w:t>
      </w:r>
      <w:r>
        <w:rPr>
          <w:rFonts w:hint="eastAsia" w:ascii="Times New Roman" w:hAnsi="Times New Roman" w:eastAsia="仿宋_GB2312" w:cs="仿宋_GB2312"/>
          <w:sz w:val="32"/>
          <w:szCs w:val="32"/>
        </w:rPr>
        <w:t>万元，其中：一般公共预算财政拨款收入2879.58万元，占</w:t>
      </w:r>
      <w:r>
        <w:rPr>
          <w:rFonts w:hint="eastAsia" w:eastAsia="仿宋_GB2312" w:cs="仿宋_GB2312"/>
          <w:sz w:val="32"/>
          <w:szCs w:val="32"/>
          <w:lang w:val="en-US" w:eastAsia="zh-CN"/>
        </w:rPr>
        <w:t>3</w:t>
      </w:r>
      <w:r>
        <w:rPr>
          <w:rFonts w:hint="eastAsia" w:ascii="Times New Roman" w:hAnsi="Times New Roman" w:eastAsia="仿宋_GB2312" w:cs="仿宋_GB2312"/>
          <w:sz w:val="32"/>
          <w:szCs w:val="32"/>
        </w:rPr>
        <w:t>%；事业收入92432.4万元，占</w:t>
      </w:r>
      <w:r>
        <w:rPr>
          <w:rFonts w:hint="eastAsia" w:ascii="Times New Roman" w:hAnsi="Times New Roman" w:eastAsia="仿宋_GB2312" w:cs="仿宋_GB2312"/>
          <w:sz w:val="32"/>
          <w:szCs w:val="32"/>
          <w:lang w:val="en-US" w:eastAsia="zh-CN"/>
        </w:rPr>
        <w:t>96</w:t>
      </w:r>
      <w:r>
        <w:rPr>
          <w:rFonts w:hint="eastAsia" w:ascii="Times New Roman" w:hAnsi="Times New Roman" w:eastAsia="仿宋_GB2312" w:cs="仿宋_GB2312"/>
          <w:sz w:val="32"/>
          <w:szCs w:val="32"/>
        </w:rPr>
        <w:t>%；其他收入963.48万元，占</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w:t>
      </w:r>
      <w:bookmarkEnd w:id="37"/>
      <w:bookmarkEnd w:id="38"/>
      <w:bookmarkEnd w:id="39"/>
      <w:bookmarkEnd w:id="40"/>
    </w:p>
    <w:p w14:paraId="0D2BB2BF">
      <w:pPr>
        <w:pStyle w:val="29"/>
        <w:spacing w:line="600" w:lineRule="exact"/>
        <w:ind w:firstLine="640"/>
        <w:outlineLvl w:val="1"/>
        <w:rPr>
          <w:rFonts w:eastAsia="仿宋_GB2312" w:cs="仿宋_GB2312"/>
          <w:sz w:val="32"/>
          <w:szCs w:val="32"/>
        </w:rPr>
      </w:pPr>
      <w:bookmarkStart w:id="41" w:name="_Toc14155"/>
      <w:bookmarkStart w:id="42" w:name="_Toc15917"/>
      <w:bookmarkStart w:id="43" w:name="_Toc27955"/>
      <w:bookmarkStart w:id="44" w:name="_Toc25263"/>
      <w:r>
        <w:rPr>
          <w:rFonts w:hint="eastAsia" w:eastAsia="仿宋_GB2312" w:cs="仿宋_GB2312"/>
          <w:sz w:val="32"/>
          <w:szCs w:val="32"/>
        </w:rPr>
        <w:t>（图2：收入决算结构图）（饼状图）</w:t>
      </w:r>
      <w:bookmarkEnd w:id="41"/>
      <w:bookmarkEnd w:id="42"/>
      <w:bookmarkEnd w:id="43"/>
      <w:bookmarkEnd w:id="44"/>
    </w:p>
    <w:p w14:paraId="24D12B3B">
      <w:pPr>
        <w:ind w:firstLine="800" w:firstLineChars="250"/>
        <w:rPr>
          <w:rFonts w:eastAsia="仿宋_GB2312" w:cs="仿宋_GB2312"/>
          <w:sz w:val="32"/>
          <w:szCs w:val="32"/>
        </w:rPr>
      </w:pPr>
    </w:p>
    <w:p w14:paraId="717B4799">
      <w:pPr>
        <w:pStyle w:val="2"/>
      </w:pPr>
      <w:bookmarkStart w:id="45" w:name="_Toc21400"/>
      <w:bookmarkStart w:id="46" w:name="_Toc5670"/>
      <w:bookmarkStart w:id="47" w:name="_Toc23625"/>
      <w:bookmarkStart w:id="48" w:name="_Toc26699"/>
      <w:r>
        <w:rPr>
          <w:rFonts w:hint="eastAsia"/>
          <w:lang w:eastAsia="zh-CN"/>
        </w:rPr>
        <w:drawing>
          <wp:inline distT="0" distB="0" distL="114300" distR="114300">
            <wp:extent cx="3785235" cy="2857500"/>
            <wp:effectExtent l="5080" t="4445" r="6985" b="825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45"/>
      <w:bookmarkEnd w:id="46"/>
      <w:bookmarkEnd w:id="47"/>
      <w:bookmarkEnd w:id="48"/>
    </w:p>
    <w:p w14:paraId="63B6032F">
      <w:pPr>
        <w:pStyle w:val="29"/>
        <w:spacing w:line="600" w:lineRule="exact"/>
        <w:ind w:firstLine="640"/>
        <w:outlineLvl w:val="1"/>
        <w:rPr>
          <w:rStyle w:val="31"/>
          <w:rFonts w:ascii="Times New Roman" w:hAnsi="Times New Roman" w:eastAsia="黑体"/>
          <w:b w:val="0"/>
        </w:rPr>
      </w:pPr>
      <w:bookmarkStart w:id="49" w:name="_Toc15377207"/>
      <w:bookmarkStart w:id="50" w:name="_Toc4731"/>
      <w:bookmarkStart w:id="51" w:name="_Toc15396605"/>
      <w:bookmarkStart w:id="52" w:name="_Toc2063"/>
      <w:r>
        <w:rPr>
          <w:rFonts w:hint="eastAsia" w:eastAsia="黑体"/>
          <w:sz w:val="32"/>
          <w:szCs w:val="32"/>
        </w:rPr>
        <w:t>三、支</w:t>
      </w:r>
      <w:r>
        <w:rPr>
          <w:rStyle w:val="31"/>
          <w:rFonts w:hint="eastAsia" w:ascii="Times New Roman" w:hAnsi="Times New Roman" w:eastAsia="黑体"/>
          <w:b w:val="0"/>
        </w:rPr>
        <w:t>出决算情况说明</w:t>
      </w:r>
      <w:bookmarkEnd w:id="49"/>
      <w:bookmarkEnd w:id="50"/>
      <w:bookmarkEnd w:id="51"/>
      <w:bookmarkEnd w:id="52"/>
    </w:p>
    <w:p w14:paraId="690F3D8A">
      <w:pPr>
        <w:pStyle w:val="29"/>
        <w:spacing w:line="600" w:lineRule="exact"/>
        <w:ind w:firstLine="640"/>
        <w:outlineLvl w:val="1"/>
        <w:rPr>
          <w:rFonts w:eastAsia="仿宋_GB2312" w:cs="仿宋_GB2312"/>
          <w:b/>
          <w:bCs/>
          <w:sz w:val="32"/>
          <w:szCs w:val="32"/>
        </w:rPr>
      </w:pPr>
      <w:bookmarkStart w:id="53" w:name="_Toc8102"/>
      <w:bookmarkStart w:id="54" w:name="_Toc6957"/>
      <w:bookmarkStart w:id="55" w:name="_Toc2281"/>
      <w:bookmarkStart w:id="56" w:name="_Toc8684"/>
      <w:r>
        <w:rPr>
          <w:rFonts w:hint="eastAsia" w:eastAsia="仿宋_GB2312" w:cs="仿宋_GB2312"/>
          <w:sz w:val="32"/>
          <w:szCs w:val="32"/>
        </w:rPr>
        <w:t>2025年度本年支出合计</w:t>
      </w:r>
      <w:r>
        <w:rPr>
          <w:rFonts w:hint="eastAsia" w:ascii="仿宋" w:hAnsi="仿宋" w:eastAsia="仿宋" w:cs="仿宋"/>
          <w:sz w:val="32"/>
          <w:szCs w:val="32"/>
        </w:rPr>
        <w:t>92600.05</w:t>
      </w:r>
      <w:r>
        <w:rPr>
          <w:rFonts w:hint="eastAsia" w:eastAsia="仿宋_GB2312" w:cs="仿宋_GB2312"/>
          <w:sz w:val="32"/>
          <w:szCs w:val="32"/>
        </w:rPr>
        <w:t>万元，其中：基本支出</w:t>
      </w:r>
      <w:r>
        <w:rPr>
          <w:rFonts w:hint="eastAsia" w:eastAsia="仿宋_GB2312" w:cs="仿宋_GB2312"/>
          <w:sz w:val="32"/>
          <w:szCs w:val="32"/>
          <w:lang w:val="en-US" w:eastAsia="zh-CN"/>
        </w:rPr>
        <w:t>83958.79</w:t>
      </w:r>
      <w:r>
        <w:rPr>
          <w:rFonts w:hint="eastAsia" w:eastAsia="仿宋_GB2312" w:cs="仿宋_GB2312"/>
          <w:sz w:val="32"/>
          <w:szCs w:val="32"/>
        </w:rPr>
        <w:t>万元，占</w:t>
      </w:r>
      <w:r>
        <w:rPr>
          <w:rFonts w:hint="eastAsia" w:eastAsia="仿宋_GB2312" w:cs="仿宋_GB2312"/>
          <w:sz w:val="32"/>
          <w:szCs w:val="32"/>
          <w:lang w:val="en-US" w:eastAsia="zh-CN"/>
        </w:rPr>
        <w:t>90.7</w:t>
      </w:r>
      <w:r>
        <w:rPr>
          <w:rFonts w:hint="eastAsia" w:eastAsia="仿宋_GB2312" w:cs="仿宋_GB2312"/>
          <w:sz w:val="32"/>
          <w:szCs w:val="32"/>
        </w:rPr>
        <w:t>%；项目支出</w:t>
      </w:r>
      <w:r>
        <w:rPr>
          <w:rFonts w:hint="eastAsia" w:eastAsia="仿宋_GB2312" w:cs="仿宋_GB2312"/>
          <w:sz w:val="32"/>
          <w:szCs w:val="32"/>
          <w:lang w:val="en-US" w:eastAsia="zh-CN"/>
        </w:rPr>
        <w:t>8641.25</w:t>
      </w:r>
      <w:r>
        <w:rPr>
          <w:rFonts w:hint="eastAsia" w:eastAsia="仿宋_GB2312" w:cs="仿宋_GB2312"/>
          <w:sz w:val="32"/>
          <w:szCs w:val="32"/>
        </w:rPr>
        <w:t>万元，占</w:t>
      </w:r>
      <w:r>
        <w:rPr>
          <w:rFonts w:hint="eastAsia" w:eastAsia="仿宋_GB2312" w:cs="仿宋_GB2312"/>
          <w:sz w:val="32"/>
          <w:szCs w:val="32"/>
          <w:lang w:val="en-US" w:eastAsia="zh-CN"/>
        </w:rPr>
        <w:t>9.3</w:t>
      </w:r>
      <w:r>
        <w:rPr>
          <w:rFonts w:hint="eastAsia" w:eastAsia="仿宋_GB2312" w:cs="仿宋_GB2312"/>
          <w:sz w:val="32"/>
          <w:szCs w:val="32"/>
        </w:rPr>
        <w:t>%。</w:t>
      </w:r>
      <w:bookmarkEnd w:id="53"/>
      <w:bookmarkEnd w:id="54"/>
      <w:bookmarkEnd w:id="55"/>
      <w:bookmarkEnd w:id="56"/>
    </w:p>
    <w:p w14:paraId="36A555A6">
      <w:pPr>
        <w:pStyle w:val="29"/>
        <w:spacing w:line="600" w:lineRule="exact"/>
        <w:ind w:firstLine="640"/>
        <w:outlineLvl w:val="1"/>
        <w:rPr>
          <w:rFonts w:eastAsia="仿宋_GB2312" w:cs="仿宋_GB2312"/>
          <w:sz w:val="32"/>
          <w:szCs w:val="32"/>
        </w:rPr>
      </w:pPr>
      <w:bookmarkStart w:id="57" w:name="_Toc10423"/>
      <w:bookmarkStart w:id="58" w:name="_Toc870"/>
      <w:bookmarkStart w:id="59" w:name="_Toc15514"/>
      <w:bookmarkStart w:id="60" w:name="_Toc14866"/>
      <w:r>
        <w:rPr>
          <w:rFonts w:hint="eastAsia" w:eastAsia="仿宋_GB2312" w:cs="仿宋_GB2312"/>
          <w:sz w:val="32"/>
          <w:szCs w:val="32"/>
        </w:rPr>
        <w:t>（图3：支出决算结构图）（饼状图）</w:t>
      </w:r>
      <w:bookmarkEnd w:id="57"/>
      <w:bookmarkEnd w:id="58"/>
      <w:bookmarkEnd w:id="59"/>
      <w:bookmarkEnd w:id="60"/>
    </w:p>
    <w:p w14:paraId="62CC4612">
      <w:pPr>
        <w:ind w:firstLine="800" w:firstLineChars="250"/>
      </w:pPr>
      <w:r>
        <w:rPr>
          <w:rFonts w:hint="eastAsia" w:ascii="Times New Roman" w:hAnsi="Times New Roman" w:eastAsia="仿宋_GB2312" w:cs="仿宋_GB2312"/>
          <w:color w:val="auto"/>
          <w:sz w:val="32"/>
          <w:szCs w:val="32"/>
          <w:highlight w:val="none"/>
          <w:lang w:eastAsia="zh-CN"/>
        </w:rPr>
        <w:drawing>
          <wp:inline distT="0" distB="0" distL="114300" distR="114300">
            <wp:extent cx="4203700" cy="1726565"/>
            <wp:effectExtent l="5080" t="5080" r="7620" b="825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EACB5E">
      <w:pPr>
        <w:spacing w:line="600" w:lineRule="exact"/>
        <w:ind w:firstLine="640" w:firstLineChars="200"/>
        <w:outlineLvl w:val="1"/>
        <w:rPr>
          <w:rStyle w:val="31"/>
          <w:rFonts w:ascii="Times New Roman" w:hAnsi="Times New Roman" w:eastAsia="黑体"/>
          <w:b w:val="0"/>
        </w:rPr>
      </w:pPr>
      <w:bookmarkStart w:id="61" w:name="_Toc15377208"/>
      <w:bookmarkStart w:id="62" w:name="_Toc26412"/>
      <w:bookmarkStart w:id="63" w:name="_Toc15035"/>
      <w:bookmarkStart w:id="64" w:name="_Toc15396606"/>
      <w:r>
        <w:rPr>
          <w:rFonts w:hint="eastAsia" w:eastAsia="黑体"/>
          <w:sz w:val="32"/>
          <w:szCs w:val="32"/>
        </w:rPr>
        <w:t>四、财</w:t>
      </w:r>
      <w:r>
        <w:rPr>
          <w:rStyle w:val="31"/>
          <w:rFonts w:hint="eastAsia" w:ascii="Times New Roman" w:hAnsi="Times New Roman" w:eastAsia="黑体"/>
          <w:b w:val="0"/>
        </w:rPr>
        <w:t>政拨款收入支出决算总体情况说明</w:t>
      </w:r>
      <w:bookmarkEnd w:id="61"/>
      <w:bookmarkEnd w:id="62"/>
      <w:bookmarkEnd w:id="63"/>
      <w:bookmarkEnd w:id="64"/>
    </w:p>
    <w:p w14:paraId="4046E7CF">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2879.58</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1162.25</w:t>
      </w:r>
      <w:r>
        <w:rPr>
          <w:rFonts w:hint="eastAsia" w:eastAsia="仿宋_GB2312" w:cs="仿宋_GB2312"/>
          <w:sz w:val="32"/>
          <w:szCs w:val="32"/>
        </w:rPr>
        <w:t>万元，增长</w:t>
      </w:r>
      <w:r>
        <w:rPr>
          <w:rFonts w:hint="eastAsia" w:eastAsia="仿宋_GB2312" w:cs="仿宋_GB2312"/>
          <w:sz w:val="32"/>
          <w:szCs w:val="32"/>
          <w:lang w:val="en-US" w:eastAsia="zh-CN"/>
        </w:rPr>
        <w:t>67.7</w:t>
      </w:r>
      <w:r>
        <w:rPr>
          <w:rFonts w:hint="eastAsia" w:eastAsia="仿宋_GB2312" w:cs="仿宋_GB2312"/>
          <w:sz w:val="32"/>
          <w:szCs w:val="32"/>
        </w:rPr>
        <w:t>%。主要变动原因是使用了2024年结转的卫生健康人才培养、中医药旗舰科室等资金705万元，</w:t>
      </w:r>
      <w:r>
        <w:rPr>
          <w:rFonts w:hint="eastAsia" w:eastAsia="仿宋_GB2312" w:cs="仿宋_GB2312"/>
          <w:sz w:val="32"/>
          <w:szCs w:val="32"/>
          <w:lang w:val="en-US" w:eastAsia="zh-CN"/>
        </w:rPr>
        <w:t>2025年</w:t>
      </w:r>
      <w:r>
        <w:rPr>
          <w:rFonts w:hint="eastAsia" w:eastAsia="仿宋_GB2312" w:cs="仿宋_GB2312"/>
          <w:sz w:val="32"/>
          <w:szCs w:val="32"/>
          <w:lang w:eastAsia="zh-CN"/>
        </w:rPr>
        <w:t>省级财政补助“互联网</w:t>
      </w:r>
      <w:r>
        <w:rPr>
          <w:rFonts w:hint="eastAsia" w:eastAsia="仿宋_GB2312" w:cs="仿宋_GB2312"/>
          <w:sz w:val="32"/>
          <w:szCs w:val="32"/>
          <w:lang w:val="en-US" w:eastAsia="zh-CN"/>
        </w:rPr>
        <w:t>+</w:t>
      </w:r>
      <w:r>
        <w:rPr>
          <w:rFonts w:hint="eastAsia" w:eastAsia="仿宋_GB2312" w:cs="仿宋_GB2312"/>
          <w:sz w:val="32"/>
          <w:szCs w:val="32"/>
          <w:lang w:eastAsia="zh-CN"/>
        </w:rPr>
        <w:t>”中医医院建设</w:t>
      </w:r>
      <w:r>
        <w:rPr>
          <w:rFonts w:hint="eastAsia" w:eastAsia="仿宋_GB2312" w:cs="仿宋_GB2312"/>
          <w:sz w:val="32"/>
          <w:szCs w:val="32"/>
          <w:lang w:val="en-US" w:eastAsia="zh-CN"/>
        </w:rPr>
        <w:t>200万元，2025年中医药传承创新发展——重点专科建设（老年科）100万元，</w:t>
      </w:r>
      <w:r>
        <w:rPr>
          <w:rFonts w:hint="eastAsia" w:eastAsia="仿宋_GB2312" w:cs="仿宋_GB2312"/>
          <w:sz w:val="32"/>
          <w:szCs w:val="32"/>
        </w:rPr>
        <w:t>2025年财政资金使用及时，无结转资金。</w:t>
      </w:r>
    </w:p>
    <w:p w14:paraId="3A16E76E">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1BDB4DC1">
      <w:pPr>
        <w:pStyle w:val="2"/>
      </w:pPr>
      <w:bookmarkStart w:id="65" w:name="_Toc2346"/>
      <w:bookmarkStart w:id="66" w:name="_Toc232"/>
      <w:bookmarkStart w:id="67" w:name="_Toc7361"/>
      <w:bookmarkStart w:id="68" w:name="_Toc12993"/>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613275" cy="1956435"/>
            <wp:effectExtent l="5080" t="5080" r="4445" b="698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End w:id="65"/>
      <w:bookmarkEnd w:id="66"/>
      <w:bookmarkEnd w:id="67"/>
      <w:bookmarkEnd w:id="68"/>
    </w:p>
    <w:p w14:paraId="37EA49B0">
      <w:pPr>
        <w:spacing w:line="600" w:lineRule="exact"/>
        <w:ind w:firstLine="640" w:firstLineChars="200"/>
        <w:outlineLvl w:val="1"/>
        <w:rPr>
          <w:rStyle w:val="31"/>
          <w:rFonts w:ascii="Times New Roman" w:hAnsi="Times New Roman" w:eastAsia="黑体"/>
          <w:b w:val="0"/>
        </w:rPr>
      </w:pPr>
      <w:bookmarkStart w:id="69" w:name="_Toc15377209"/>
      <w:bookmarkStart w:id="70" w:name="_Toc2083"/>
      <w:bookmarkStart w:id="71" w:name="_Toc15396607"/>
      <w:bookmarkStart w:id="72" w:name="_Toc30356"/>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69"/>
      <w:bookmarkEnd w:id="70"/>
      <w:bookmarkEnd w:id="71"/>
      <w:bookmarkEnd w:id="72"/>
    </w:p>
    <w:p w14:paraId="1DDD85F1">
      <w:pPr>
        <w:spacing w:line="600" w:lineRule="exact"/>
        <w:ind w:firstLine="643" w:firstLineChars="200"/>
        <w:outlineLvl w:val="2"/>
        <w:rPr>
          <w:rFonts w:eastAsia="楷体_GB2312" w:cs="楷体_GB2312"/>
          <w:b/>
          <w:sz w:val="32"/>
          <w:szCs w:val="32"/>
        </w:rPr>
      </w:pPr>
      <w:bookmarkStart w:id="73" w:name="_Toc20758"/>
      <w:bookmarkStart w:id="74" w:name="_Toc7430"/>
      <w:bookmarkStart w:id="75" w:name="_Toc31200"/>
      <w:bookmarkStart w:id="76" w:name="_Toc21218"/>
      <w:bookmarkStart w:id="77" w:name="_Toc15377210"/>
      <w:r>
        <w:rPr>
          <w:rFonts w:hint="eastAsia" w:eastAsia="楷体_GB2312" w:cs="楷体_GB2312"/>
          <w:b/>
          <w:sz w:val="32"/>
          <w:szCs w:val="32"/>
        </w:rPr>
        <w:t>（一）一般公共预算财政拨款支出决算总体情况</w:t>
      </w:r>
      <w:bookmarkEnd w:id="73"/>
      <w:bookmarkEnd w:id="74"/>
      <w:bookmarkEnd w:id="75"/>
      <w:bookmarkEnd w:id="76"/>
      <w:bookmarkEnd w:id="77"/>
    </w:p>
    <w:p w14:paraId="4696C8B6">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2879.58</w:t>
      </w:r>
      <w:r>
        <w:rPr>
          <w:rFonts w:hint="eastAsia" w:eastAsia="仿宋_GB2312" w:cs="仿宋_GB2312"/>
          <w:sz w:val="32"/>
          <w:szCs w:val="32"/>
        </w:rPr>
        <w:t>万元，占本年支出合计的</w:t>
      </w:r>
      <w:r>
        <w:rPr>
          <w:rFonts w:hint="eastAsia" w:eastAsia="仿宋_GB2312" w:cs="仿宋_GB2312"/>
          <w:sz w:val="32"/>
          <w:szCs w:val="32"/>
          <w:lang w:val="en-US" w:eastAsia="zh-CN"/>
        </w:rPr>
        <w:t>3.1</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1162.25</w:t>
      </w:r>
      <w:r>
        <w:rPr>
          <w:rFonts w:hint="eastAsia" w:eastAsia="仿宋_GB2312" w:cs="仿宋_GB2312"/>
          <w:sz w:val="32"/>
          <w:szCs w:val="32"/>
        </w:rPr>
        <w:t>万元，增长</w:t>
      </w:r>
      <w:r>
        <w:rPr>
          <w:rFonts w:hint="eastAsia" w:eastAsia="仿宋_GB2312" w:cs="仿宋_GB2312"/>
          <w:sz w:val="32"/>
          <w:szCs w:val="32"/>
          <w:lang w:val="en-US" w:eastAsia="zh-CN"/>
        </w:rPr>
        <w:t>67.7</w:t>
      </w:r>
      <w:r>
        <w:rPr>
          <w:rFonts w:hint="eastAsia" w:eastAsia="仿宋_GB2312" w:cs="仿宋_GB2312"/>
          <w:sz w:val="32"/>
          <w:szCs w:val="32"/>
        </w:rPr>
        <w:t>%。主要变动原因是使用了2024年结转的卫生健康人才培养、中医药旗舰科室等资金705万元，</w:t>
      </w:r>
      <w:r>
        <w:rPr>
          <w:rFonts w:hint="eastAsia" w:eastAsia="仿宋_GB2312" w:cs="仿宋_GB2312"/>
          <w:sz w:val="32"/>
          <w:szCs w:val="32"/>
          <w:lang w:val="en-US" w:eastAsia="zh-CN"/>
        </w:rPr>
        <w:t>2025年</w:t>
      </w:r>
      <w:r>
        <w:rPr>
          <w:rFonts w:hint="eastAsia" w:eastAsia="仿宋_GB2312" w:cs="仿宋_GB2312"/>
          <w:sz w:val="32"/>
          <w:szCs w:val="32"/>
          <w:lang w:eastAsia="zh-CN"/>
        </w:rPr>
        <w:t>省级财政补助“互联网</w:t>
      </w:r>
      <w:r>
        <w:rPr>
          <w:rFonts w:hint="eastAsia" w:eastAsia="仿宋_GB2312" w:cs="仿宋_GB2312"/>
          <w:sz w:val="32"/>
          <w:szCs w:val="32"/>
          <w:lang w:val="en-US" w:eastAsia="zh-CN"/>
        </w:rPr>
        <w:t>+</w:t>
      </w:r>
      <w:r>
        <w:rPr>
          <w:rFonts w:hint="eastAsia" w:eastAsia="仿宋_GB2312" w:cs="仿宋_GB2312"/>
          <w:sz w:val="32"/>
          <w:szCs w:val="32"/>
          <w:lang w:eastAsia="zh-CN"/>
        </w:rPr>
        <w:t>”中医医院建设</w:t>
      </w:r>
      <w:r>
        <w:rPr>
          <w:rFonts w:hint="eastAsia" w:eastAsia="仿宋_GB2312" w:cs="仿宋_GB2312"/>
          <w:sz w:val="32"/>
          <w:szCs w:val="32"/>
          <w:lang w:val="en-US" w:eastAsia="zh-CN"/>
        </w:rPr>
        <w:t>200万元，2025年中医药传承创新发展——重点专科建设（老年科）100万元，</w:t>
      </w:r>
      <w:r>
        <w:rPr>
          <w:rFonts w:hint="eastAsia" w:eastAsia="仿宋_GB2312" w:cs="仿宋_GB2312"/>
          <w:sz w:val="32"/>
          <w:szCs w:val="32"/>
        </w:rPr>
        <w:t>2025年财政资金使用及时，无结转资金。</w:t>
      </w:r>
    </w:p>
    <w:p w14:paraId="115FAA6F">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6FA6A96A">
      <w:pPr>
        <w:spacing w:line="600" w:lineRule="exact"/>
        <w:ind w:firstLine="640"/>
        <w:rPr>
          <w:rFonts w:eastAsia="仿宋_GB2312" w:cs="仿宋_GB2312"/>
          <w:sz w:val="32"/>
          <w:szCs w:val="32"/>
        </w:rPr>
      </w:pPr>
    </w:p>
    <w:p w14:paraId="34E46076">
      <w:pPr>
        <w:spacing w:line="600" w:lineRule="exact"/>
        <w:ind w:firstLine="640" w:firstLineChars="200"/>
        <w:outlineLvl w:val="2"/>
        <w:rPr>
          <w:rFonts w:hint="eastAsia" w:eastAsia="楷体_GB2312" w:cs="楷体_GB2312"/>
          <w:b/>
          <w:sz w:val="32"/>
          <w:szCs w:val="32"/>
        </w:rPr>
      </w:pPr>
      <w:bookmarkStart w:id="78" w:name="_Toc15377211"/>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0288" behindDoc="1" locked="0" layoutInCell="1" allowOverlap="1">
            <wp:simplePos x="0" y="0"/>
            <wp:positionH relativeFrom="column">
              <wp:posOffset>296545</wp:posOffset>
            </wp:positionH>
            <wp:positionV relativeFrom="paragraph">
              <wp:posOffset>-225425</wp:posOffset>
            </wp:positionV>
            <wp:extent cx="4058920" cy="1691640"/>
            <wp:effectExtent l="4445" t="5080" r="38735" b="43180"/>
            <wp:wrapTight wrapText="bothSides">
              <wp:wrapPolygon>
                <wp:start x="-24" y="-65"/>
                <wp:lineTo x="-24" y="21503"/>
                <wp:lineTo x="21536" y="21503"/>
                <wp:lineTo x="21536" y="-65"/>
                <wp:lineTo x="-24" y="-65"/>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25867E7E">
      <w:pPr>
        <w:spacing w:line="600" w:lineRule="exact"/>
        <w:ind w:firstLine="643" w:firstLineChars="200"/>
        <w:outlineLvl w:val="2"/>
        <w:rPr>
          <w:rFonts w:hint="eastAsia" w:eastAsia="楷体_GB2312" w:cs="楷体_GB2312"/>
          <w:b/>
          <w:sz w:val="32"/>
          <w:szCs w:val="32"/>
        </w:rPr>
      </w:pPr>
    </w:p>
    <w:p w14:paraId="517AC8DA">
      <w:pPr>
        <w:spacing w:line="600" w:lineRule="exact"/>
        <w:ind w:firstLine="643" w:firstLineChars="200"/>
        <w:outlineLvl w:val="2"/>
        <w:rPr>
          <w:rFonts w:hint="eastAsia" w:eastAsia="楷体_GB2312" w:cs="楷体_GB2312"/>
          <w:b/>
          <w:sz w:val="32"/>
          <w:szCs w:val="32"/>
        </w:rPr>
      </w:pPr>
    </w:p>
    <w:p w14:paraId="7AC96FA7">
      <w:pPr>
        <w:spacing w:line="600" w:lineRule="exact"/>
        <w:outlineLvl w:val="2"/>
        <w:rPr>
          <w:rFonts w:hint="eastAsia" w:eastAsia="楷体_GB2312" w:cs="楷体_GB2312"/>
          <w:b/>
          <w:sz w:val="32"/>
          <w:szCs w:val="32"/>
        </w:rPr>
      </w:pPr>
    </w:p>
    <w:p w14:paraId="1E435F38">
      <w:pPr>
        <w:spacing w:line="600" w:lineRule="exact"/>
        <w:ind w:firstLine="643" w:firstLineChars="200"/>
        <w:outlineLvl w:val="2"/>
        <w:rPr>
          <w:rFonts w:eastAsia="楷体_GB2312" w:cs="楷体_GB2312"/>
          <w:b/>
          <w:sz w:val="32"/>
          <w:szCs w:val="32"/>
        </w:rPr>
      </w:pPr>
      <w:bookmarkStart w:id="79" w:name="_Toc67"/>
      <w:bookmarkStart w:id="80" w:name="_Toc17024"/>
      <w:bookmarkStart w:id="81" w:name="_Toc8695"/>
      <w:bookmarkStart w:id="82" w:name="_Toc3306"/>
      <w:r>
        <w:rPr>
          <w:rFonts w:hint="eastAsia" w:eastAsia="楷体_GB2312" w:cs="楷体_GB2312"/>
          <w:b/>
          <w:sz w:val="32"/>
          <w:szCs w:val="32"/>
        </w:rPr>
        <w:t>（二）一般公共预算财政拨款支出决算结构情况</w:t>
      </w:r>
      <w:bookmarkEnd w:id="78"/>
      <w:bookmarkEnd w:id="79"/>
      <w:bookmarkEnd w:id="80"/>
      <w:bookmarkEnd w:id="81"/>
      <w:bookmarkEnd w:id="82"/>
    </w:p>
    <w:p w14:paraId="5B822EFE">
      <w:pPr>
        <w:spacing w:line="600" w:lineRule="exact"/>
        <w:ind w:firstLine="640"/>
        <w:rPr>
          <w:rFonts w:hint="eastAsia" w:eastAsia="仿宋_GB2312" w:cs="仿宋_GB2312"/>
          <w:b/>
          <w:bCs/>
          <w:sz w:val="32"/>
          <w:szCs w:val="32"/>
          <w:lang w:val="en-US"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2879.58</w:t>
      </w:r>
      <w:r>
        <w:rPr>
          <w:rFonts w:hint="eastAsia" w:eastAsia="仿宋_GB2312" w:cs="仿宋_GB2312"/>
          <w:sz w:val="32"/>
          <w:szCs w:val="32"/>
        </w:rPr>
        <w:t>万元，主要用于以下方面：科学技术支出</w:t>
      </w:r>
      <w:r>
        <w:rPr>
          <w:rFonts w:hint="eastAsia" w:eastAsia="仿宋_GB2312" w:cs="仿宋_GB2312"/>
          <w:sz w:val="32"/>
          <w:szCs w:val="32"/>
          <w:lang w:val="en-US" w:eastAsia="zh-CN"/>
        </w:rPr>
        <w:t>55</w:t>
      </w:r>
      <w:r>
        <w:rPr>
          <w:rFonts w:hint="eastAsia" w:eastAsia="仿宋_GB2312" w:cs="仿宋_GB2312"/>
          <w:sz w:val="32"/>
          <w:szCs w:val="32"/>
        </w:rPr>
        <w:t>万元，占</w:t>
      </w:r>
      <w:r>
        <w:rPr>
          <w:rFonts w:hint="eastAsia" w:eastAsia="仿宋_GB2312" w:cs="仿宋_GB2312"/>
          <w:sz w:val="32"/>
          <w:szCs w:val="32"/>
          <w:lang w:val="en-US" w:eastAsia="zh-CN"/>
        </w:rPr>
        <w:t>1.9</w:t>
      </w:r>
      <w:r>
        <w:rPr>
          <w:rFonts w:hint="eastAsia" w:eastAsia="仿宋_GB2312" w:cs="仿宋_GB2312"/>
          <w:sz w:val="32"/>
          <w:szCs w:val="32"/>
        </w:rPr>
        <w:t>%；社会保障和就业支出</w:t>
      </w:r>
      <w:r>
        <w:rPr>
          <w:rFonts w:hint="eastAsia" w:eastAsia="仿宋_GB2312" w:cs="仿宋_GB2312"/>
          <w:sz w:val="32"/>
          <w:szCs w:val="32"/>
          <w:lang w:val="en-US" w:eastAsia="zh-CN"/>
        </w:rPr>
        <w:t>793.78</w:t>
      </w:r>
      <w:r>
        <w:rPr>
          <w:rFonts w:hint="eastAsia" w:eastAsia="仿宋_GB2312" w:cs="仿宋_GB2312"/>
          <w:sz w:val="32"/>
          <w:szCs w:val="32"/>
        </w:rPr>
        <w:t>万元，占</w:t>
      </w:r>
      <w:r>
        <w:rPr>
          <w:rFonts w:hint="eastAsia" w:eastAsia="仿宋_GB2312" w:cs="仿宋_GB2312"/>
          <w:sz w:val="32"/>
          <w:szCs w:val="32"/>
          <w:lang w:val="en-US" w:eastAsia="zh-CN"/>
        </w:rPr>
        <w:t>27.6</w:t>
      </w:r>
      <w:r>
        <w:rPr>
          <w:rFonts w:hint="eastAsia" w:eastAsia="仿宋_GB2312" w:cs="仿宋_GB2312"/>
          <w:sz w:val="32"/>
          <w:szCs w:val="32"/>
        </w:rPr>
        <w:t>%；卫生健康支出</w:t>
      </w:r>
      <w:r>
        <w:rPr>
          <w:rFonts w:hint="eastAsia" w:eastAsia="仿宋_GB2312" w:cs="仿宋_GB2312"/>
          <w:sz w:val="32"/>
          <w:szCs w:val="32"/>
          <w:lang w:val="en-US" w:eastAsia="zh-CN"/>
        </w:rPr>
        <w:t>2030.8</w:t>
      </w:r>
      <w:r>
        <w:rPr>
          <w:rFonts w:hint="eastAsia" w:eastAsia="仿宋_GB2312" w:cs="仿宋_GB2312"/>
          <w:sz w:val="32"/>
          <w:szCs w:val="32"/>
        </w:rPr>
        <w:t>万元，占</w:t>
      </w:r>
      <w:r>
        <w:rPr>
          <w:rFonts w:hint="eastAsia" w:eastAsia="仿宋_GB2312" w:cs="仿宋_GB2312"/>
          <w:sz w:val="32"/>
          <w:szCs w:val="32"/>
          <w:lang w:val="en-US" w:eastAsia="zh-CN"/>
        </w:rPr>
        <w:t>70.5</w:t>
      </w:r>
      <w:r>
        <w:rPr>
          <w:rFonts w:hint="eastAsia" w:eastAsia="仿宋_GB2312" w:cs="仿宋_GB2312"/>
          <w:sz w:val="32"/>
          <w:szCs w:val="32"/>
        </w:rPr>
        <w:t>%。</w:t>
      </w:r>
    </w:p>
    <w:p w14:paraId="48C13DF2">
      <w:pPr>
        <w:spacing w:line="600" w:lineRule="exact"/>
        <w:rPr>
          <w:rFonts w:eastAsia="仿宋_GB2312" w:cs="仿宋_GB2312"/>
          <w:sz w:val="32"/>
          <w:szCs w:val="32"/>
        </w:rPr>
      </w:pPr>
      <w:r>
        <w:rPr>
          <w:rFonts w:hint="eastAsia" w:eastAsia="仿宋_GB2312" w:cs="仿宋_GB2312"/>
          <w:sz w:val="32"/>
          <w:szCs w:val="32"/>
        </w:rPr>
        <w:t>（图6：一般公共预算财政拨款支出决算结构）（饼状图）</w:t>
      </w:r>
    </w:p>
    <w:p w14:paraId="57AC533B">
      <w:pPr>
        <w:spacing w:line="600" w:lineRule="exact"/>
        <w:ind w:firstLine="640"/>
        <w:rPr>
          <w:rFonts w:eastAsia="仿宋_GB2312" w:cs="仿宋_GB2312"/>
          <w:sz w:val="32"/>
          <w:szCs w:val="32"/>
        </w:rPr>
      </w:pPr>
      <w:r>
        <w:rPr>
          <w:rFonts w:hint="eastAsia" w:ascii="Times New Roman" w:hAnsi="Times New Roman" w:eastAsia="楷体_GB2312" w:cs="楷体_GB2312"/>
          <w:b/>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511810</wp:posOffset>
            </wp:positionH>
            <wp:positionV relativeFrom="paragraph">
              <wp:posOffset>123825</wp:posOffset>
            </wp:positionV>
            <wp:extent cx="3982085" cy="1139825"/>
            <wp:effectExtent l="4445" t="4445" r="13970" b="36830"/>
            <wp:wrapTight wrapText="bothSides">
              <wp:wrapPolygon>
                <wp:start x="-24" y="-84"/>
                <wp:lineTo x="-24" y="21576"/>
                <wp:lineTo x="21538" y="21576"/>
                <wp:lineTo x="21538" y="-84"/>
                <wp:lineTo x="-24" y="-84"/>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20DB4BE">
      <w:pPr>
        <w:pStyle w:val="2"/>
        <w:rPr>
          <w:rFonts w:eastAsia="仿宋_GB2312" w:cs="仿宋_GB2312"/>
          <w:sz w:val="32"/>
          <w:szCs w:val="32"/>
        </w:rPr>
      </w:pPr>
    </w:p>
    <w:p w14:paraId="4CF9A208"/>
    <w:p w14:paraId="53AF8263">
      <w:pPr>
        <w:spacing w:line="600" w:lineRule="exact"/>
        <w:ind w:firstLine="643" w:firstLineChars="200"/>
        <w:outlineLvl w:val="2"/>
        <w:rPr>
          <w:rFonts w:eastAsia="楷体_GB2312" w:cs="楷体_GB2312"/>
          <w:b/>
          <w:sz w:val="32"/>
          <w:szCs w:val="32"/>
        </w:rPr>
      </w:pPr>
      <w:bookmarkStart w:id="83" w:name="_Toc14377"/>
      <w:bookmarkStart w:id="84" w:name="_Toc27986"/>
      <w:bookmarkStart w:id="85" w:name="_Toc4401"/>
      <w:bookmarkStart w:id="86" w:name="_Toc15377212"/>
      <w:bookmarkStart w:id="87" w:name="_Toc29478"/>
      <w:r>
        <w:rPr>
          <w:rFonts w:hint="eastAsia" w:eastAsia="楷体_GB2312" w:cs="楷体_GB2312"/>
          <w:b/>
          <w:sz w:val="32"/>
          <w:szCs w:val="32"/>
        </w:rPr>
        <w:t>（三）一般公共预算财政拨款支出决算具体情况</w:t>
      </w:r>
      <w:bookmarkEnd w:id="83"/>
      <w:bookmarkEnd w:id="84"/>
      <w:bookmarkEnd w:id="85"/>
      <w:bookmarkEnd w:id="86"/>
      <w:bookmarkEnd w:id="87"/>
    </w:p>
    <w:p w14:paraId="61DF759A">
      <w:pPr>
        <w:spacing w:line="600" w:lineRule="exact"/>
        <w:ind w:firstLine="640"/>
        <w:rPr>
          <w:rFonts w:eastAsia="仿宋_GB2312" w:cs="仿宋_GB2312"/>
          <w:sz w:val="32"/>
          <w:szCs w:val="32"/>
        </w:rPr>
      </w:pPr>
      <w:bookmarkStart w:id="88" w:name="_Toc15378460"/>
      <w:bookmarkStart w:id="89" w:name="_Toc15377444"/>
      <w:bookmarkStart w:id="90"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2879.58万元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88"/>
      <w:bookmarkEnd w:id="89"/>
      <w:bookmarkEnd w:id="90"/>
    </w:p>
    <w:p w14:paraId="71A566DF">
      <w:pPr>
        <w:numPr>
          <w:ilvl w:val="0"/>
          <w:numId w:val="1"/>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sz w:val="32"/>
          <w:szCs w:val="32"/>
        </w:rPr>
        <w:t>科学技术</w:t>
      </w:r>
      <w:r>
        <w:rPr>
          <w:rFonts w:hint="eastAsia" w:eastAsia="仿宋_GB2312" w:cs="仿宋_GB2312"/>
          <w:sz w:val="32"/>
          <w:szCs w:val="32"/>
          <w:lang w:eastAsia="zh-CN"/>
        </w:rPr>
        <w:t>支出</w:t>
      </w:r>
      <w:r>
        <w:rPr>
          <w:rFonts w:hint="eastAsia" w:eastAsia="仿宋_GB2312" w:cs="仿宋_GB2312"/>
          <w:sz w:val="32"/>
          <w:szCs w:val="32"/>
        </w:rPr>
        <w:t>（类）其他科学技术支出（款）其他科学技术支出（项）：支出决算为</w:t>
      </w:r>
      <w:r>
        <w:rPr>
          <w:rFonts w:hint="eastAsia" w:eastAsia="仿宋_GB2312" w:cs="仿宋_GB2312"/>
          <w:sz w:val="32"/>
          <w:szCs w:val="32"/>
          <w:lang w:val="en-US" w:eastAsia="zh-CN"/>
        </w:rPr>
        <w:t>55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color w:val="auto"/>
          <w:kern w:val="2"/>
          <w:sz w:val="32"/>
          <w:szCs w:val="32"/>
          <w:highlight w:val="none"/>
          <w:lang w:val="en-US" w:eastAsia="zh-CN" w:bidi="ar-SA"/>
        </w:rPr>
        <w:t>。</w:t>
      </w:r>
    </w:p>
    <w:p w14:paraId="76DED52C">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（类）行政事业单位养老支出（款）事业单位离退休（项）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713.01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0821A3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（类）抚恤（款）死亡抚恤（项）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80.77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650F0B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（类）公立医院（款）中医（民族）医院（项）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4.89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31765A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（类）公立医院（款）其他公立医院支出（项）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50.16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2D7D3F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（类）公共卫生（款）基本公共卫生服务（项）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ABC45A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（类）公共卫生（款）重大公共卫生服务（项）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A3C37B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（类）公共卫生（款）其他公共卫生支出（项）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65E5A2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（类）中医药事务（款）中医（民族医）药专项（项）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732.75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81A3960">
      <w:pPr>
        <w:spacing w:line="600" w:lineRule="exact"/>
        <w:ind w:firstLine="640"/>
        <w:rPr>
          <w:rFonts w:eastAsia="仿宋_GB2312" w:cs="仿宋_GB2312"/>
          <w:sz w:val="32"/>
          <w:szCs w:val="32"/>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（类）其他卫生健康支出（款）其他卫生健康支出（项）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1186.49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2129DF0">
      <w:pPr>
        <w:tabs>
          <w:tab w:val="right" w:pos="8306"/>
        </w:tabs>
        <w:spacing w:line="600" w:lineRule="exact"/>
        <w:ind w:firstLine="640"/>
        <w:outlineLvl w:val="1"/>
        <w:rPr>
          <w:rStyle w:val="31"/>
          <w:rFonts w:ascii="Times New Roman" w:hAnsi="Times New Roman"/>
        </w:rPr>
      </w:pPr>
      <w:bookmarkStart w:id="91" w:name="_Toc14260"/>
      <w:bookmarkStart w:id="92" w:name="_Toc16152"/>
      <w:bookmarkStart w:id="93" w:name="_Toc15377214"/>
      <w:bookmarkStart w:id="94" w:name="_Toc15396608"/>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91"/>
      <w:bookmarkEnd w:id="92"/>
      <w:bookmarkEnd w:id="93"/>
      <w:bookmarkEnd w:id="94"/>
      <w:r>
        <w:rPr>
          <w:rStyle w:val="31"/>
          <w:rFonts w:ascii="Times New Roman" w:hAnsi="Times New Roman" w:eastAsia="黑体"/>
          <w:b w:val="0"/>
        </w:rPr>
        <w:tab/>
      </w:r>
    </w:p>
    <w:p w14:paraId="5328A8B9">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798.67</w:t>
      </w:r>
      <w:r>
        <w:rPr>
          <w:rFonts w:hint="eastAsia" w:eastAsia="仿宋_GB2312" w:cs="仿宋_GB2312"/>
          <w:sz w:val="32"/>
          <w:szCs w:val="32"/>
        </w:rPr>
        <w:t>万元，其中：</w:t>
      </w:r>
    </w:p>
    <w:p w14:paraId="534BE9D3">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795.91</w:t>
      </w:r>
      <w:r>
        <w:rPr>
          <w:rFonts w:hint="eastAsia" w:eastAsia="仿宋_GB2312" w:cs="仿宋_GB2312"/>
          <w:sz w:val="32"/>
          <w:szCs w:val="32"/>
        </w:rPr>
        <w:t>万元，主要包括：离休费、抚恤金、生活补助、医疗费补助。</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2.76</w:t>
      </w:r>
      <w:r>
        <w:rPr>
          <w:rFonts w:hint="eastAsia" w:eastAsia="仿宋_GB2312" w:cs="仿宋_GB2312"/>
          <w:sz w:val="32"/>
          <w:szCs w:val="32"/>
        </w:rPr>
        <w:t>万元，主要包括：其他商品和服务支出。</w:t>
      </w:r>
    </w:p>
    <w:p w14:paraId="7B7DBEAE">
      <w:pPr>
        <w:spacing w:line="600" w:lineRule="exact"/>
        <w:ind w:firstLine="640"/>
        <w:outlineLvl w:val="1"/>
        <w:rPr>
          <w:rStyle w:val="31"/>
          <w:rFonts w:ascii="Times New Roman" w:hAnsi="Times New Roman" w:eastAsia="黑体"/>
          <w:b w:val="0"/>
        </w:rPr>
      </w:pPr>
      <w:bookmarkStart w:id="95" w:name="_Toc5953"/>
      <w:bookmarkStart w:id="96" w:name="_Toc2170"/>
      <w:bookmarkStart w:id="97" w:name="_Toc15377215"/>
      <w:bookmarkStart w:id="98" w:name="_Toc15396609"/>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95"/>
      <w:bookmarkEnd w:id="96"/>
      <w:bookmarkEnd w:id="97"/>
      <w:bookmarkEnd w:id="98"/>
    </w:p>
    <w:p w14:paraId="0517FA0B">
      <w:pPr>
        <w:spacing w:line="600" w:lineRule="exact"/>
        <w:ind w:firstLine="643" w:firstLineChars="200"/>
        <w:outlineLvl w:val="2"/>
        <w:rPr>
          <w:rFonts w:eastAsia="楷体_GB2312" w:cs="楷体_GB2312"/>
          <w:b/>
          <w:sz w:val="32"/>
          <w:szCs w:val="32"/>
        </w:rPr>
      </w:pPr>
      <w:bookmarkStart w:id="99" w:name="_Toc5383"/>
      <w:bookmarkStart w:id="100" w:name="_Toc13414"/>
      <w:bookmarkStart w:id="101" w:name="_Toc11662"/>
      <w:bookmarkStart w:id="102" w:name="_Toc15377216"/>
      <w:bookmarkStart w:id="103" w:name="_Toc7512"/>
      <w:r>
        <w:rPr>
          <w:rFonts w:hint="eastAsia" w:eastAsia="楷体_GB2312" w:cs="楷体_GB2312"/>
          <w:b/>
          <w:sz w:val="32"/>
          <w:szCs w:val="32"/>
        </w:rPr>
        <w:t>（一）财政拨款“三公”经费支出决算总体情况说明</w:t>
      </w:r>
      <w:bookmarkEnd w:id="99"/>
      <w:bookmarkEnd w:id="100"/>
      <w:bookmarkEnd w:id="101"/>
      <w:bookmarkEnd w:id="102"/>
      <w:bookmarkEnd w:id="103"/>
    </w:p>
    <w:p w14:paraId="59304BDB">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%，较上年度增加/减少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2C6AB49B">
      <w:pPr>
        <w:spacing w:line="600" w:lineRule="exact"/>
        <w:ind w:firstLine="643" w:firstLineChars="200"/>
        <w:outlineLvl w:val="2"/>
        <w:rPr>
          <w:rFonts w:eastAsia="楷体_GB2312" w:cs="楷体_GB2312"/>
          <w:b/>
          <w:sz w:val="32"/>
          <w:szCs w:val="32"/>
        </w:rPr>
      </w:pPr>
      <w:bookmarkStart w:id="104" w:name="_Toc8750"/>
      <w:bookmarkStart w:id="105" w:name="_Toc716"/>
      <w:bookmarkStart w:id="106" w:name="_Toc15377217"/>
      <w:bookmarkStart w:id="107" w:name="_Toc31717"/>
      <w:bookmarkStart w:id="108" w:name="_Toc9271"/>
      <w:r>
        <w:rPr>
          <w:rFonts w:hint="eastAsia" w:eastAsia="楷体_GB2312" w:cs="楷体_GB2312"/>
          <w:b/>
          <w:sz w:val="32"/>
          <w:szCs w:val="32"/>
        </w:rPr>
        <w:t>（二）财政拨款“三公”经费支出决算具体情况说明</w:t>
      </w:r>
      <w:bookmarkEnd w:id="104"/>
      <w:bookmarkEnd w:id="105"/>
      <w:bookmarkEnd w:id="106"/>
      <w:bookmarkEnd w:id="107"/>
      <w:bookmarkEnd w:id="108"/>
    </w:p>
    <w:p w14:paraId="6510CC66">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14:paraId="2C0BFFA3">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1D6F0FF7">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5DC128D2">
      <w:pPr>
        <w:spacing w:line="600" w:lineRule="exact"/>
        <w:ind w:firstLine="640"/>
        <w:rPr>
          <w:rFonts w:eastAsia="仿宋_GB2312" w:cs="仿宋_GB2312"/>
          <w:sz w:val="32"/>
          <w:szCs w:val="32"/>
        </w:rPr>
      </w:pPr>
      <w:r>
        <w:rPr>
          <w:rFonts w:hint="eastAsia" w:eastAsia="仿宋_GB2312" w:cs="仿宋_GB2312"/>
          <w:sz w:val="32"/>
          <w:szCs w:val="32"/>
        </w:rPr>
        <w:t>开支内容包括：</w:t>
      </w:r>
      <w:r>
        <w:rPr>
          <w:rFonts w:hint="eastAsia" w:eastAsia="仿宋_GB2312" w:cs="仿宋_GB2312"/>
          <w:sz w:val="32"/>
          <w:szCs w:val="32"/>
          <w:lang w:eastAsia="zh-CN"/>
        </w:rPr>
        <w:t>无</w:t>
      </w:r>
      <w:r>
        <w:rPr>
          <w:rFonts w:hint="eastAsia" w:eastAsia="仿宋_GB2312" w:cs="仿宋_GB2312"/>
          <w:sz w:val="32"/>
          <w:szCs w:val="32"/>
        </w:rPr>
        <w:t>（团组名称、出访地点、取得成效等）</w:t>
      </w:r>
    </w:p>
    <w:p w14:paraId="3911CC67">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57AE3400">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511DAA33">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0</w:t>
      </w:r>
      <w:r>
        <w:rPr>
          <w:rFonts w:hint="eastAsia" w:eastAsia="仿宋_GB2312" w:cs="仿宋_GB2312"/>
          <w:sz w:val="32"/>
          <w:szCs w:val="32"/>
        </w:rPr>
        <w:t>万元。主要用于（具体工作）所需的公务用车燃料费、维修费、过路过桥费、保险费等支出。</w:t>
      </w:r>
    </w:p>
    <w:p w14:paraId="3EC1EB90">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%。其中：</w:t>
      </w:r>
    </w:p>
    <w:p w14:paraId="7E6B4821">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w:t>
      </w:r>
      <w:r>
        <w:rPr>
          <w:rFonts w:hint="eastAsia" w:eastAsia="仿宋_GB2312" w:cs="仿宋_GB2312"/>
          <w:sz w:val="32"/>
          <w:szCs w:val="32"/>
        </w:rPr>
        <w:t>万元，主要用于（执行公务、开展业务活动开支的交通费、住宿费、用餐费等）。国内公务接待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4F09D8BB">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bookmarkStart w:id="109" w:name="_Toc15377218"/>
      <w:bookmarkStart w:id="110" w:name="_Toc15396610"/>
    </w:p>
    <w:p w14:paraId="420BF0F3">
      <w:pPr>
        <w:spacing w:line="600" w:lineRule="exact"/>
        <w:ind w:firstLine="640"/>
        <w:outlineLvl w:val="1"/>
        <w:rPr>
          <w:rStyle w:val="31"/>
          <w:rFonts w:ascii="Times New Roman" w:hAnsi="Times New Roman" w:eastAsia="黑体"/>
        </w:rPr>
      </w:pPr>
      <w:bookmarkStart w:id="111" w:name="_Toc977"/>
      <w:bookmarkStart w:id="112" w:name="_Toc16629"/>
      <w:r>
        <w:rPr>
          <w:rFonts w:hint="eastAsia" w:eastAsia="黑体"/>
          <w:sz w:val="32"/>
          <w:szCs w:val="32"/>
        </w:rPr>
        <w:t>八、</w:t>
      </w:r>
      <w:r>
        <w:rPr>
          <w:rStyle w:val="31"/>
          <w:rFonts w:hint="eastAsia" w:ascii="Times New Roman" w:hAnsi="Times New Roman" w:eastAsia="黑体"/>
          <w:b w:val="0"/>
        </w:rPr>
        <w:t>政府性基金预算支出决算情况说明</w:t>
      </w:r>
      <w:bookmarkEnd w:id="109"/>
      <w:bookmarkEnd w:id="110"/>
      <w:bookmarkEnd w:id="111"/>
      <w:bookmarkEnd w:id="112"/>
    </w:p>
    <w:p w14:paraId="0318E1BD">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%。与上年度相比，政府性基金预算财政拨款支出增加/减少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627E4D34">
      <w:pPr>
        <w:spacing w:line="600" w:lineRule="exact"/>
        <w:ind w:left="630"/>
        <w:outlineLvl w:val="1"/>
        <w:rPr>
          <w:rStyle w:val="31"/>
          <w:rFonts w:ascii="Times New Roman" w:hAnsi="Times New Roman" w:eastAsia="黑体"/>
          <w:b w:val="0"/>
        </w:rPr>
      </w:pPr>
      <w:bookmarkStart w:id="113" w:name="_Toc31346"/>
      <w:bookmarkStart w:id="114" w:name="_Toc15396611"/>
      <w:bookmarkStart w:id="115" w:name="_Toc31201"/>
      <w:bookmarkStart w:id="116" w:name="_Toc15377219"/>
      <w:r>
        <w:rPr>
          <w:rStyle w:val="31"/>
          <w:rFonts w:hint="eastAsia" w:ascii="Times New Roman" w:hAnsi="Times New Roman" w:eastAsia="黑体"/>
          <w:b w:val="0"/>
        </w:rPr>
        <w:t>九、国有资本经营预算支出决算情况说明</w:t>
      </w:r>
      <w:bookmarkEnd w:id="113"/>
      <w:bookmarkEnd w:id="114"/>
      <w:bookmarkEnd w:id="115"/>
      <w:bookmarkEnd w:id="116"/>
    </w:p>
    <w:p w14:paraId="44B26C3F">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%。与上年度相比，国有资本经营预算财政拨款支出增加/减少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2F81F836">
      <w:pPr>
        <w:spacing w:line="600" w:lineRule="exact"/>
        <w:ind w:left="630"/>
        <w:outlineLvl w:val="1"/>
        <w:rPr>
          <w:rStyle w:val="31"/>
          <w:rFonts w:ascii="Times New Roman" w:hAnsi="Times New Roman" w:eastAsia="黑体"/>
          <w:b w:val="0"/>
        </w:rPr>
      </w:pPr>
      <w:bookmarkStart w:id="117" w:name="_Toc15377221"/>
      <w:bookmarkStart w:id="118" w:name="_Toc24431"/>
      <w:bookmarkStart w:id="119" w:name="_Toc30742"/>
      <w:bookmarkStart w:id="120" w:name="_Toc15396612"/>
      <w:r>
        <w:rPr>
          <w:rStyle w:val="31"/>
          <w:rFonts w:hint="eastAsia" w:ascii="Times New Roman" w:hAnsi="Times New Roman" w:eastAsia="黑体"/>
          <w:b w:val="0"/>
        </w:rPr>
        <w:t>十、其他重要事项的情况说明</w:t>
      </w:r>
      <w:bookmarkEnd w:id="117"/>
      <w:bookmarkEnd w:id="118"/>
      <w:bookmarkEnd w:id="119"/>
      <w:bookmarkEnd w:id="120"/>
    </w:p>
    <w:p w14:paraId="048F56F1">
      <w:pPr>
        <w:spacing w:line="600" w:lineRule="exact"/>
        <w:ind w:firstLine="643" w:firstLineChars="200"/>
        <w:outlineLvl w:val="2"/>
        <w:rPr>
          <w:rFonts w:eastAsia="楷体_GB2312" w:cs="楷体_GB2312"/>
          <w:b/>
          <w:sz w:val="32"/>
          <w:szCs w:val="32"/>
        </w:rPr>
      </w:pPr>
      <w:bookmarkStart w:id="121" w:name="_Toc14585"/>
      <w:bookmarkStart w:id="122" w:name="_Toc13751"/>
      <w:bookmarkStart w:id="123" w:name="_Toc31309"/>
      <w:bookmarkStart w:id="124" w:name="_Toc15377222"/>
      <w:bookmarkStart w:id="125" w:name="_Toc11817"/>
      <w:r>
        <w:rPr>
          <w:rFonts w:hint="eastAsia" w:eastAsia="楷体_GB2312" w:cs="楷体_GB2312"/>
          <w:b/>
          <w:sz w:val="32"/>
          <w:szCs w:val="32"/>
        </w:rPr>
        <w:t>（一）机关运行经费支出情况</w:t>
      </w:r>
      <w:bookmarkEnd w:id="121"/>
      <w:bookmarkEnd w:id="122"/>
      <w:bookmarkEnd w:id="123"/>
      <w:bookmarkEnd w:id="124"/>
      <w:bookmarkEnd w:id="125"/>
    </w:p>
    <w:p w14:paraId="6B3DE850">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四川省攀枝花市中西医结合医院</w:t>
      </w:r>
      <w:r>
        <w:rPr>
          <w:rFonts w:hint="eastAsia" w:eastAsia="仿宋_GB2312" w:cs="仿宋_GB2312"/>
          <w:sz w:val="32"/>
          <w:szCs w:val="32"/>
        </w:rPr>
        <w:t>机关运行经费支出</w:t>
      </w:r>
      <w:r>
        <w:rPr>
          <w:rFonts w:hint="eastAsia" w:eastAsia="仿宋_GB2312" w:cs="仿宋_GB2312"/>
          <w:sz w:val="32"/>
          <w:szCs w:val="32"/>
          <w:lang w:val="en-US" w:eastAsia="zh-CN"/>
        </w:rPr>
        <w:t>0</w:t>
      </w:r>
      <w:r>
        <w:rPr>
          <w:rFonts w:hint="eastAsia" w:eastAsia="仿宋_GB2312" w:cs="仿宋_GB2312"/>
          <w:sz w:val="32"/>
          <w:szCs w:val="32"/>
        </w:rPr>
        <w:t>万元，比上年度增加/减少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%（或与上年度决算数持平）。</w:t>
      </w:r>
    </w:p>
    <w:p w14:paraId="66DAA315">
      <w:pPr>
        <w:spacing w:line="600" w:lineRule="exact"/>
        <w:ind w:firstLine="643" w:firstLineChars="200"/>
        <w:outlineLvl w:val="2"/>
        <w:rPr>
          <w:rFonts w:eastAsia="楷体_GB2312" w:cs="楷体_GB2312"/>
          <w:b/>
          <w:sz w:val="32"/>
          <w:szCs w:val="32"/>
        </w:rPr>
      </w:pPr>
      <w:bookmarkStart w:id="126" w:name="_Toc7906"/>
      <w:bookmarkStart w:id="127" w:name="_Toc10405"/>
      <w:bookmarkStart w:id="128" w:name="_Toc696"/>
      <w:bookmarkStart w:id="129" w:name="_Toc24705"/>
      <w:bookmarkStart w:id="130" w:name="_Toc15377223"/>
      <w:r>
        <w:rPr>
          <w:rFonts w:hint="eastAsia" w:eastAsia="楷体_GB2312" w:cs="楷体_GB2312"/>
          <w:b/>
          <w:sz w:val="32"/>
          <w:szCs w:val="32"/>
        </w:rPr>
        <w:t>（二）政府采购支出情况</w:t>
      </w:r>
      <w:bookmarkEnd w:id="126"/>
      <w:bookmarkEnd w:id="127"/>
      <w:bookmarkEnd w:id="128"/>
      <w:bookmarkEnd w:id="129"/>
      <w:bookmarkEnd w:id="130"/>
    </w:p>
    <w:p w14:paraId="5FDF22B7">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四川省攀枝花市中西医结合医院</w:t>
      </w:r>
      <w:r>
        <w:rPr>
          <w:rFonts w:hint="eastAsia" w:eastAsia="仿宋_GB2312" w:cs="仿宋_GB2312"/>
          <w:sz w:val="32"/>
          <w:szCs w:val="32"/>
        </w:rPr>
        <w:t>政府采购支出总额</w:t>
      </w:r>
      <w:r>
        <w:rPr>
          <w:rFonts w:hint="eastAsia" w:eastAsia="仿宋_GB2312" w:cs="仿宋_GB2312"/>
          <w:sz w:val="32"/>
          <w:szCs w:val="32"/>
          <w:lang w:val="en-US" w:eastAsia="zh-CN"/>
        </w:rPr>
        <w:t>6425.03</w:t>
      </w:r>
      <w:r>
        <w:rPr>
          <w:rFonts w:hint="eastAsia" w:eastAsia="仿宋_GB2312" w:cs="仿宋_GB2312"/>
          <w:sz w:val="32"/>
          <w:szCs w:val="32"/>
        </w:rPr>
        <w:t>万元，其中：政府采购货物支出</w:t>
      </w:r>
      <w:r>
        <w:rPr>
          <w:rFonts w:hint="eastAsia" w:eastAsia="仿宋_GB2312" w:cs="仿宋_GB2312"/>
          <w:sz w:val="32"/>
          <w:szCs w:val="32"/>
          <w:lang w:val="en-US" w:eastAsia="zh-CN"/>
        </w:rPr>
        <w:t>5949.47</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475.56</w:t>
      </w:r>
      <w:r>
        <w:rPr>
          <w:rFonts w:hint="eastAsia" w:eastAsia="仿宋_GB2312" w:cs="仿宋_GB2312"/>
          <w:sz w:val="32"/>
          <w:szCs w:val="32"/>
        </w:rPr>
        <w:t>万元。主要用于</w:t>
      </w:r>
      <w:r>
        <w:rPr>
          <w:rFonts w:hint="eastAsia" w:ascii="仿宋_GB2312" w:eastAsia="仿宋_GB2312"/>
          <w:color w:val="auto"/>
          <w:sz w:val="32"/>
          <w:szCs w:val="32"/>
          <w:highlight w:val="none"/>
          <w:lang w:eastAsia="zh-CN"/>
        </w:rPr>
        <w:t>医疗活动所需的业务用房建设、设备</w:t>
      </w:r>
      <w:r>
        <w:rPr>
          <w:rFonts w:hint="eastAsia" w:ascii="仿宋_GB2312" w:eastAsia="仿宋_GB2312"/>
          <w:color w:val="auto"/>
          <w:sz w:val="32"/>
          <w:szCs w:val="32"/>
          <w:highlight w:val="none"/>
          <w:lang w:val="en-US" w:eastAsia="zh-CN"/>
        </w:rPr>
        <w:t>、物资采购、信息化建设服务及医疗责任险的购买</w:t>
      </w:r>
      <w:r>
        <w:rPr>
          <w:rFonts w:hint="eastAsia" w:eastAsia="仿宋_GB2312" w:cs="仿宋_GB2312"/>
          <w:sz w:val="32"/>
          <w:szCs w:val="32"/>
        </w:rPr>
        <w:t>。授予中小企业合同金额</w:t>
      </w:r>
      <w:r>
        <w:rPr>
          <w:rFonts w:hint="eastAsia" w:eastAsia="仿宋_GB2312" w:cs="仿宋_GB2312"/>
          <w:sz w:val="32"/>
          <w:szCs w:val="32"/>
          <w:lang w:val="en-US" w:eastAsia="zh-CN"/>
        </w:rPr>
        <w:t>3695.23</w:t>
      </w:r>
      <w:r>
        <w:rPr>
          <w:rFonts w:hint="eastAsia" w:eastAsia="仿宋_GB2312" w:cs="仿宋_GB2312"/>
          <w:sz w:val="32"/>
          <w:szCs w:val="32"/>
        </w:rPr>
        <w:t>万元，占政府采购支出总额的</w:t>
      </w:r>
      <w:r>
        <w:rPr>
          <w:rFonts w:hint="eastAsia" w:eastAsia="仿宋_GB2312" w:cs="仿宋_GB2312"/>
          <w:sz w:val="32"/>
          <w:szCs w:val="32"/>
          <w:lang w:val="en-US" w:eastAsia="zh-CN"/>
        </w:rPr>
        <w:t>57.5</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其中</w:t>
      </w:r>
      <w:r>
        <w:rPr>
          <w:rFonts w:hint="eastAsia" w:eastAsia="仿宋_GB2312" w:cs="仿宋_GB2312"/>
          <w:sz w:val="32"/>
          <w:szCs w:val="32"/>
          <w:lang w:eastAsia="zh-CN"/>
        </w:rPr>
        <w:t>，</w:t>
      </w:r>
      <w:r>
        <w:rPr>
          <w:rFonts w:hint="eastAsia" w:eastAsia="仿宋_GB2312" w:cs="仿宋_GB2312"/>
          <w:sz w:val="32"/>
          <w:szCs w:val="32"/>
        </w:rPr>
        <w:t>授予小微企业合同金额</w:t>
      </w:r>
      <w:r>
        <w:rPr>
          <w:rFonts w:hint="eastAsia" w:eastAsia="仿宋_GB2312" w:cs="仿宋_GB2312"/>
          <w:sz w:val="32"/>
          <w:szCs w:val="32"/>
          <w:lang w:val="en-US" w:eastAsia="zh-CN"/>
        </w:rPr>
        <w:t>945.23</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14.7</w:t>
      </w:r>
      <w:r>
        <w:rPr>
          <w:rFonts w:hint="eastAsia" w:eastAsia="仿宋_GB2312" w:cs="仿宋_GB2312"/>
          <w:sz w:val="32"/>
          <w:szCs w:val="32"/>
        </w:rPr>
        <w:t>%。</w:t>
      </w:r>
    </w:p>
    <w:p w14:paraId="291A4FDC">
      <w:pPr>
        <w:spacing w:line="600" w:lineRule="exact"/>
        <w:ind w:firstLine="643" w:firstLineChars="200"/>
        <w:outlineLvl w:val="2"/>
        <w:rPr>
          <w:rFonts w:eastAsia="楷体_GB2312" w:cs="楷体_GB2312"/>
          <w:b/>
          <w:sz w:val="32"/>
          <w:szCs w:val="32"/>
        </w:rPr>
      </w:pPr>
      <w:bookmarkStart w:id="131" w:name="_Toc23653"/>
      <w:bookmarkStart w:id="132" w:name="_Toc15377224"/>
      <w:bookmarkStart w:id="133" w:name="_Toc14910"/>
      <w:bookmarkStart w:id="134" w:name="_Toc6528"/>
      <w:bookmarkStart w:id="135" w:name="_Toc5442"/>
      <w:r>
        <w:rPr>
          <w:rFonts w:hint="eastAsia" w:eastAsia="楷体_GB2312" w:cs="楷体_GB2312"/>
          <w:b/>
          <w:sz w:val="32"/>
          <w:szCs w:val="32"/>
        </w:rPr>
        <w:t>（三）国有资产占有使用情况</w:t>
      </w:r>
      <w:bookmarkEnd w:id="131"/>
      <w:bookmarkEnd w:id="132"/>
      <w:bookmarkEnd w:id="133"/>
      <w:bookmarkEnd w:id="134"/>
      <w:bookmarkEnd w:id="135"/>
    </w:p>
    <w:p w14:paraId="3539AD46">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四川省攀枝花市中西医结合医院</w:t>
      </w:r>
      <w:r>
        <w:rPr>
          <w:rFonts w:hint="eastAsia" w:eastAsia="仿宋_GB2312" w:cs="仿宋_GB2312"/>
          <w:sz w:val="32"/>
          <w:szCs w:val="32"/>
        </w:rPr>
        <w:t>共有车辆</w:t>
      </w:r>
      <w:r>
        <w:rPr>
          <w:rFonts w:hint="eastAsia" w:eastAsia="仿宋_GB2312" w:cs="仿宋_GB2312"/>
          <w:sz w:val="32"/>
          <w:szCs w:val="32"/>
          <w:lang w:val="en-US" w:eastAsia="zh-CN"/>
        </w:rPr>
        <w:t>9</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7</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2</w:t>
      </w:r>
      <w:r>
        <w:rPr>
          <w:rFonts w:hint="eastAsia" w:eastAsia="仿宋_GB2312" w:cs="仿宋_GB2312"/>
          <w:sz w:val="32"/>
          <w:szCs w:val="32"/>
        </w:rPr>
        <w:t>辆，其他用车</w:t>
      </w:r>
      <w:r>
        <w:rPr>
          <w:rFonts w:hint="eastAsia" w:eastAsia="仿宋_GB2312" w:cs="仿宋_GB2312"/>
          <w:sz w:val="32"/>
          <w:szCs w:val="32"/>
          <w:lang w:eastAsia="zh-CN"/>
        </w:rPr>
        <w:t>主要</w:t>
      </w:r>
      <w:r>
        <w:rPr>
          <w:rFonts w:hint="eastAsia" w:eastAsia="仿宋_GB2312" w:cs="仿宋_GB2312"/>
          <w:sz w:val="32"/>
          <w:szCs w:val="32"/>
        </w:rPr>
        <w:t>用于</w:t>
      </w:r>
      <w:r>
        <w:rPr>
          <w:rFonts w:hint="eastAsia" w:ascii="仿宋_GB2312" w:hAnsi="仿宋_GB2312" w:eastAsia="仿宋_GB2312" w:cs="仿宋_GB2312"/>
          <w:sz w:val="32"/>
          <w:szCs w:val="32"/>
          <w:lang w:eastAsia="zh-CN"/>
        </w:rPr>
        <w:t>业务拓展及外出体检任务</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91</w:t>
      </w:r>
      <w:r>
        <w:rPr>
          <w:rFonts w:hint="eastAsia" w:eastAsia="仿宋_GB2312" w:cs="仿宋_GB2312"/>
          <w:sz w:val="32"/>
          <w:szCs w:val="32"/>
        </w:rPr>
        <w:t>台（套）。</w:t>
      </w:r>
    </w:p>
    <w:p w14:paraId="2685637D">
      <w:pPr>
        <w:spacing w:line="600" w:lineRule="exact"/>
        <w:ind w:firstLine="643" w:firstLineChars="200"/>
        <w:outlineLvl w:val="2"/>
        <w:rPr>
          <w:rFonts w:eastAsia="楷体_GB2312" w:cs="楷体_GB2312"/>
          <w:b/>
          <w:sz w:val="32"/>
          <w:szCs w:val="32"/>
        </w:rPr>
      </w:pPr>
      <w:bookmarkStart w:id="136" w:name="_Toc22723"/>
      <w:bookmarkStart w:id="137" w:name="_Toc9857"/>
      <w:bookmarkStart w:id="138" w:name="_Toc16123"/>
      <w:bookmarkStart w:id="139" w:name="_Toc30495"/>
      <w:r>
        <w:rPr>
          <w:rFonts w:hint="eastAsia" w:eastAsia="楷体_GB2312" w:cs="楷体_GB2312"/>
          <w:b/>
          <w:sz w:val="32"/>
          <w:szCs w:val="32"/>
        </w:rPr>
        <w:t>（四）预算绩效管理情况</w:t>
      </w:r>
      <w:bookmarkEnd w:id="136"/>
      <w:bookmarkEnd w:id="137"/>
      <w:bookmarkEnd w:id="138"/>
      <w:bookmarkEnd w:id="139"/>
    </w:p>
    <w:p w14:paraId="2F0E23D7">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ascii="仿宋_GB2312" w:hAnsi="仿宋_GB2312" w:eastAsia="仿宋_GB2312" w:cs="仿宋_GB2312"/>
          <w:sz w:val="32"/>
          <w:szCs w:val="32"/>
        </w:rPr>
        <w:t>四川省攀枝花市中西医结合医院</w:t>
      </w:r>
      <w:r>
        <w:rPr>
          <w:rFonts w:hint="eastAsia" w:eastAsia="仿宋_GB2312" w:cs="仿宋_GB2312"/>
          <w:sz w:val="32"/>
          <w:szCs w:val="32"/>
        </w:rPr>
        <w:t>在2025年度，组织对</w:t>
      </w:r>
      <w:r>
        <w:rPr>
          <w:rFonts w:hint="eastAsia" w:ascii="Times New Roman" w:hAnsi="Times New Roman" w:eastAsia="仿宋_GB2312" w:cs="仿宋_GB2312"/>
          <w:color w:val="auto"/>
          <w:kern w:val="2"/>
          <w:sz w:val="32"/>
          <w:szCs w:val="32"/>
          <w:highlight w:val="none"/>
          <w:lang w:val="en-US" w:eastAsia="zh-CN" w:bidi="ar-SA"/>
        </w:rPr>
        <w:t>医疗服务与保障能力提升（中医药事业传承与发展部分）</w:t>
      </w:r>
      <w:r>
        <w:rPr>
          <w:rFonts w:hint="eastAsia" w:eastAsia="仿宋_GB2312" w:cs="仿宋_GB2312"/>
          <w:color w:val="auto"/>
          <w:kern w:val="2"/>
          <w:sz w:val="32"/>
          <w:szCs w:val="32"/>
          <w:highlight w:val="none"/>
          <w:lang w:val="en-US" w:eastAsia="zh-CN" w:bidi="ar-SA"/>
        </w:rPr>
        <w:t>、人才专项经费、医疗服务与保障能力提升（公立医院综合改革）、医疗服务与保障能力提升（卫生健康人才培养）、中医药发展专项（中医药人才培养平台建设、中医药文化传承保护和传播）</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sz w:val="32"/>
          <w:szCs w:val="32"/>
          <w:lang w:val="en-US" w:eastAsia="zh-CN"/>
        </w:rPr>
        <w:t>15</w:t>
      </w:r>
      <w:r>
        <w:rPr>
          <w:rFonts w:hint="eastAsia" w:eastAsia="仿宋_GB2312" w:cs="仿宋_GB2312"/>
          <w:sz w:val="32"/>
          <w:szCs w:val="32"/>
        </w:rPr>
        <w:t>个项目涉及金额</w:t>
      </w:r>
      <w:r>
        <w:rPr>
          <w:rFonts w:hint="eastAsia" w:eastAsia="仿宋_GB2312" w:cs="仿宋_GB2312"/>
          <w:sz w:val="32"/>
          <w:szCs w:val="32"/>
          <w:lang w:val="en-US" w:eastAsia="zh-CN"/>
        </w:rPr>
        <w:t>1493.41</w:t>
      </w:r>
      <w:r>
        <w:rPr>
          <w:rFonts w:hint="eastAsia" w:eastAsia="仿宋_GB2312" w:cs="仿宋_GB2312"/>
          <w:sz w:val="32"/>
          <w:szCs w:val="32"/>
        </w:rPr>
        <w:t>万元开展了事前绩效评估，对</w:t>
      </w:r>
      <w:r>
        <w:rPr>
          <w:rFonts w:hint="eastAsia" w:eastAsia="仿宋_GB2312" w:cs="仿宋_GB2312"/>
          <w:sz w:val="32"/>
          <w:szCs w:val="32"/>
          <w:lang w:val="en-US" w:eastAsia="zh-CN"/>
        </w:rPr>
        <w:t>15</w:t>
      </w:r>
      <w:r>
        <w:rPr>
          <w:rFonts w:hint="eastAsia" w:eastAsia="仿宋_GB2312" w:cs="仿宋_GB2312"/>
          <w:sz w:val="32"/>
          <w:szCs w:val="32"/>
        </w:rPr>
        <w:t>个项目编制了绩效目标</w:t>
      </w:r>
      <w:r>
        <w:rPr>
          <w:rFonts w:hint="eastAsia" w:eastAsia="仿宋_GB2312" w:cs="仿宋_GB2312"/>
          <w:sz w:val="32"/>
          <w:szCs w:val="32"/>
          <w:lang w:eastAsia="zh-CN"/>
        </w:rPr>
        <w:t>，在</w:t>
      </w:r>
      <w:r>
        <w:rPr>
          <w:rFonts w:hint="eastAsia" w:eastAsia="仿宋_GB2312" w:cs="仿宋_GB2312"/>
          <w:sz w:val="32"/>
          <w:szCs w:val="32"/>
        </w:rPr>
        <w:t>预算执行过程中，选取</w:t>
      </w:r>
      <w:r>
        <w:rPr>
          <w:rFonts w:hint="eastAsia" w:eastAsia="仿宋_GB2312" w:cs="仿宋_GB2312"/>
          <w:sz w:val="32"/>
          <w:szCs w:val="32"/>
          <w:lang w:val="en-US" w:eastAsia="zh-CN"/>
        </w:rPr>
        <w:t>15</w:t>
      </w:r>
      <w:r>
        <w:rPr>
          <w:rFonts w:hint="eastAsia" w:eastAsia="仿宋_GB2312" w:cs="仿宋_GB2312"/>
          <w:sz w:val="32"/>
          <w:szCs w:val="32"/>
        </w:rPr>
        <w:t>个项目开展绩效监控。</w:t>
      </w:r>
    </w:p>
    <w:p w14:paraId="613A43D2">
      <w:pPr>
        <w:widowControl/>
        <w:adjustRightInd w:val="0"/>
        <w:snapToGrid w:val="0"/>
        <w:spacing w:line="578" w:lineRule="exact"/>
        <w:ind w:firstLine="640" w:firstLineChars="200"/>
        <w:contextualSpacing/>
        <w:jc w:val="left"/>
        <w:rPr>
          <w:rFonts w:eastAsia="仿宋_GB2312" w:cs="仿宋_GB2312"/>
          <w:sz w:val="32"/>
          <w:szCs w:val="32"/>
        </w:rPr>
      </w:pPr>
      <w:r>
        <w:rPr>
          <w:rFonts w:hint="eastAsia" w:eastAsia="仿宋_GB2312" w:cs="仿宋_GB2312"/>
          <w:sz w:val="32"/>
          <w:szCs w:val="32"/>
        </w:rPr>
        <w:t>组织对2025年度一般公共预算全面开展绩效自评，形成</w:t>
      </w:r>
      <w:r>
        <w:rPr>
          <w:rFonts w:hint="eastAsia" w:eastAsia="仿宋_GB2312" w:cs="仿宋_GB2312"/>
          <w:color w:val="auto"/>
          <w:kern w:val="2"/>
          <w:sz w:val="32"/>
          <w:szCs w:val="32"/>
          <w:highlight w:val="none"/>
          <w:lang w:val="en-US" w:eastAsia="zh-CN" w:bidi="ar-SA"/>
        </w:rPr>
        <w:t>四川省攀枝花市中西医结合医院</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eastAsia="仿宋_GB2312" w:cs="仿宋_GB2312"/>
          <w:color w:val="auto"/>
          <w:kern w:val="2"/>
          <w:sz w:val="32"/>
          <w:szCs w:val="32"/>
          <w:highlight w:val="none"/>
          <w:lang w:val="en-US" w:eastAsia="zh-CN" w:bidi="ar-SA"/>
        </w:rPr>
        <w:t>，以及医疗</w:t>
      </w:r>
      <w:r>
        <w:rPr>
          <w:rFonts w:hint="eastAsia" w:ascii="Times New Roman" w:hAnsi="Times New Roman" w:eastAsia="仿宋_GB2312" w:cs="仿宋_GB2312"/>
          <w:color w:val="auto"/>
          <w:kern w:val="2"/>
          <w:sz w:val="32"/>
          <w:szCs w:val="32"/>
          <w:highlight w:val="none"/>
          <w:lang w:val="en-US" w:eastAsia="zh-CN" w:bidi="ar-SA"/>
        </w:rPr>
        <w:t>服务与保障能力提升（中医药事业传承与发展部分）</w:t>
      </w:r>
      <w:r>
        <w:rPr>
          <w:rFonts w:hint="eastAsia" w:eastAsia="仿宋_GB2312" w:cs="仿宋_GB2312"/>
          <w:color w:val="auto"/>
          <w:kern w:val="2"/>
          <w:sz w:val="32"/>
          <w:szCs w:val="32"/>
          <w:highlight w:val="none"/>
          <w:lang w:val="en-US" w:eastAsia="zh-CN" w:bidi="ar-SA"/>
        </w:rPr>
        <w:t>、医疗服务与保障能力提升（卫生健康人才培养）、医疗服务与保障能力提升（公立医院综合改革）、人才专项经费、住院医师规范化培训项目中央预算项目</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四川省攀枝花市中西医结合医院</w:t>
      </w:r>
      <w:r>
        <w:rPr>
          <w:rFonts w:hint="eastAsia" w:eastAsia="仿宋_GB2312" w:cs="仿宋_GB2312"/>
          <w:sz w:val="32"/>
          <w:szCs w:val="32"/>
        </w:rPr>
        <w:t>部门预算（含部门预算项目）绩效自评得分为</w:t>
      </w:r>
      <w:r>
        <w:rPr>
          <w:rFonts w:hint="eastAsia" w:eastAsia="仿宋_GB2312" w:cs="仿宋_GB2312"/>
          <w:sz w:val="32"/>
          <w:szCs w:val="32"/>
          <w:lang w:val="en-US" w:eastAsia="zh-CN"/>
        </w:rPr>
        <w:t>97</w:t>
      </w:r>
      <w:r>
        <w:rPr>
          <w:rFonts w:hint="eastAsia" w:eastAsia="仿宋_GB2312" w:cs="仿宋_GB2312"/>
          <w:sz w:val="32"/>
          <w:szCs w:val="32"/>
        </w:rPr>
        <w:t>分，绩效自评综述</w:t>
      </w:r>
      <w:r>
        <w:rPr>
          <w:rFonts w:hint="eastAsia" w:eastAsia="仿宋_GB2312" w:cs="仿宋_GB2312"/>
          <w:sz w:val="32"/>
          <w:szCs w:val="32"/>
          <w:lang w:val="zh-CN"/>
        </w:rPr>
        <w:t>部门预算资金执行进度，各项绩效指标均达到了预期目标，达到了年度预算的整体目标</w:t>
      </w:r>
      <w:r>
        <w:rPr>
          <w:rFonts w:hint="eastAsia" w:eastAsia="仿宋_GB2312" w:cs="仿宋_GB2312"/>
          <w:sz w:val="32"/>
          <w:szCs w:val="32"/>
        </w:rPr>
        <w:t>；</w:t>
      </w:r>
      <w:r>
        <w:rPr>
          <w:rFonts w:hint="eastAsia" w:eastAsia="仿宋_GB2312" w:cs="仿宋_GB2312"/>
          <w:color w:val="auto"/>
          <w:kern w:val="2"/>
          <w:sz w:val="32"/>
          <w:szCs w:val="32"/>
          <w:highlight w:val="none"/>
          <w:lang w:val="en-US" w:eastAsia="zh-CN" w:bidi="ar-SA"/>
        </w:rPr>
        <w:t>四川省攀枝花市中西医结合医院</w:t>
      </w:r>
      <w:r>
        <w:rPr>
          <w:rFonts w:hint="eastAsia" w:eastAsia="仿宋_GB2312" w:cs="仿宋_GB2312"/>
          <w:sz w:val="32"/>
          <w:szCs w:val="32"/>
        </w:rPr>
        <w:t>专项预算项目绩效自评得分为</w:t>
      </w:r>
      <w:r>
        <w:rPr>
          <w:rFonts w:hint="eastAsia" w:eastAsia="仿宋_GB2312" w:cs="仿宋_GB2312"/>
          <w:sz w:val="32"/>
          <w:szCs w:val="32"/>
          <w:lang w:val="en-US" w:eastAsia="zh-CN"/>
        </w:rPr>
        <w:t>97</w:t>
      </w:r>
      <w:r>
        <w:rPr>
          <w:rFonts w:hint="eastAsia" w:eastAsia="仿宋_GB2312" w:cs="仿宋_GB2312"/>
          <w:sz w:val="32"/>
          <w:szCs w:val="32"/>
        </w:rPr>
        <w:t>分，绩效自评综述</w:t>
      </w:r>
      <w:r>
        <w:rPr>
          <w:rFonts w:hint="eastAsia" w:eastAsia="仿宋_GB2312" w:cs="仿宋_GB2312"/>
          <w:sz w:val="32"/>
          <w:szCs w:val="32"/>
          <w:lang w:eastAsia="zh-CN"/>
        </w:rPr>
        <w:t>项目目标达成程度高，资金使用规范、效益显著，专款专用</w:t>
      </w:r>
      <w:r>
        <w:rPr>
          <w:rFonts w:hint="eastAsia" w:eastAsia="仿宋_GB2312" w:cs="仿宋_GB2312"/>
          <w:sz w:val="32"/>
          <w:szCs w:val="32"/>
        </w:rPr>
        <w:t>。绩效自评报告详见附件。</w:t>
      </w:r>
    </w:p>
    <w:p w14:paraId="56C20499">
      <w:pPr>
        <w:spacing w:line="600" w:lineRule="exact"/>
        <w:jc w:val="center"/>
        <w:outlineLvl w:val="0"/>
        <w:rPr>
          <w:rFonts w:hint="eastAsia" w:eastAsia="黑体"/>
          <w:sz w:val="44"/>
          <w:szCs w:val="44"/>
        </w:rPr>
      </w:pPr>
      <w:bookmarkStart w:id="140" w:name="_Toc15396613"/>
      <w:bookmarkStart w:id="141" w:name="_Toc15377225"/>
    </w:p>
    <w:p w14:paraId="0162263E">
      <w:pPr>
        <w:spacing w:line="600" w:lineRule="exact"/>
        <w:jc w:val="center"/>
        <w:outlineLvl w:val="0"/>
        <w:rPr>
          <w:rFonts w:hint="eastAsia" w:eastAsia="黑体"/>
          <w:sz w:val="44"/>
          <w:szCs w:val="44"/>
        </w:rPr>
      </w:pPr>
    </w:p>
    <w:p w14:paraId="009F9715">
      <w:pPr>
        <w:spacing w:line="600" w:lineRule="exact"/>
        <w:jc w:val="center"/>
        <w:outlineLvl w:val="0"/>
        <w:rPr>
          <w:rFonts w:hint="eastAsia" w:eastAsia="黑体"/>
          <w:sz w:val="44"/>
          <w:szCs w:val="44"/>
        </w:rPr>
      </w:pPr>
    </w:p>
    <w:p w14:paraId="659C2949">
      <w:pPr>
        <w:spacing w:line="600" w:lineRule="exact"/>
        <w:jc w:val="center"/>
        <w:outlineLvl w:val="0"/>
        <w:rPr>
          <w:rFonts w:hint="eastAsia" w:eastAsia="黑体"/>
          <w:sz w:val="44"/>
          <w:szCs w:val="44"/>
        </w:rPr>
      </w:pPr>
    </w:p>
    <w:p w14:paraId="52F8D566">
      <w:pPr>
        <w:spacing w:line="600" w:lineRule="exact"/>
        <w:jc w:val="center"/>
        <w:outlineLvl w:val="0"/>
        <w:rPr>
          <w:rFonts w:hint="eastAsia" w:eastAsia="黑体"/>
          <w:sz w:val="44"/>
          <w:szCs w:val="44"/>
        </w:rPr>
      </w:pPr>
    </w:p>
    <w:p w14:paraId="7924DFF3">
      <w:pPr>
        <w:spacing w:line="600" w:lineRule="exact"/>
        <w:jc w:val="center"/>
        <w:outlineLvl w:val="0"/>
        <w:rPr>
          <w:rFonts w:hint="eastAsia" w:eastAsia="黑体"/>
          <w:sz w:val="44"/>
          <w:szCs w:val="44"/>
        </w:rPr>
      </w:pPr>
    </w:p>
    <w:p w14:paraId="4C1CC3E5">
      <w:pPr>
        <w:spacing w:line="600" w:lineRule="exact"/>
        <w:jc w:val="center"/>
        <w:outlineLvl w:val="0"/>
        <w:rPr>
          <w:rFonts w:hint="eastAsia" w:eastAsia="黑体"/>
          <w:sz w:val="44"/>
          <w:szCs w:val="44"/>
        </w:rPr>
      </w:pPr>
    </w:p>
    <w:p w14:paraId="4E25DB22">
      <w:pPr>
        <w:spacing w:line="600" w:lineRule="exact"/>
        <w:jc w:val="center"/>
        <w:outlineLvl w:val="0"/>
        <w:rPr>
          <w:rFonts w:hint="eastAsia" w:eastAsia="黑体"/>
          <w:sz w:val="44"/>
          <w:szCs w:val="44"/>
        </w:rPr>
      </w:pPr>
    </w:p>
    <w:p w14:paraId="1330F037">
      <w:pPr>
        <w:spacing w:line="600" w:lineRule="exact"/>
        <w:jc w:val="center"/>
        <w:outlineLvl w:val="0"/>
        <w:rPr>
          <w:rFonts w:hint="eastAsia" w:eastAsia="黑体"/>
          <w:sz w:val="44"/>
          <w:szCs w:val="44"/>
        </w:rPr>
      </w:pPr>
    </w:p>
    <w:p w14:paraId="193FC5FA">
      <w:pPr>
        <w:spacing w:line="600" w:lineRule="exact"/>
        <w:jc w:val="center"/>
        <w:outlineLvl w:val="0"/>
        <w:rPr>
          <w:rFonts w:hint="eastAsia" w:eastAsia="黑体"/>
          <w:sz w:val="44"/>
          <w:szCs w:val="44"/>
        </w:rPr>
      </w:pPr>
    </w:p>
    <w:p w14:paraId="0860A065">
      <w:pPr>
        <w:spacing w:line="600" w:lineRule="exact"/>
        <w:jc w:val="center"/>
        <w:outlineLvl w:val="0"/>
        <w:rPr>
          <w:rFonts w:eastAsia="黑体"/>
          <w:sz w:val="44"/>
          <w:szCs w:val="44"/>
        </w:rPr>
      </w:pPr>
      <w:bookmarkStart w:id="142" w:name="_Toc2714"/>
      <w:bookmarkStart w:id="143" w:name="_Toc5401"/>
      <w:r>
        <w:rPr>
          <w:rFonts w:hint="eastAsia" w:eastAsia="黑体"/>
          <w:sz w:val="44"/>
          <w:szCs w:val="44"/>
        </w:rPr>
        <w:t>第三部分  名词解释</w:t>
      </w:r>
      <w:bookmarkEnd w:id="140"/>
      <w:bookmarkEnd w:id="141"/>
      <w:bookmarkEnd w:id="142"/>
      <w:bookmarkEnd w:id="143"/>
    </w:p>
    <w:p w14:paraId="0BE7C56F">
      <w:pPr>
        <w:spacing w:line="600" w:lineRule="exact"/>
        <w:jc w:val="left"/>
        <w:rPr>
          <w:b/>
          <w:sz w:val="44"/>
          <w:szCs w:val="44"/>
        </w:rPr>
      </w:pPr>
    </w:p>
    <w:p w14:paraId="12D6FFD8">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2E710A37">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091C80A0">
      <w:pPr>
        <w:spacing w:line="600" w:lineRule="exact"/>
        <w:ind w:firstLine="640"/>
        <w:rPr>
          <w:rFonts w:hint="eastAsia"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4ACD224B">
      <w:pPr>
        <w:spacing w:line="600" w:lineRule="exact"/>
        <w:ind w:firstLine="640"/>
        <w:rPr>
          <w:rFonts w:eastAsia="仿宋_GB2312" w:cs="仿宋_GB2312"/>
          <w:sz w:val="32"/>
          <w:szCs w:val="32"/>
        </w:rPr>
      </w:pPr>
      <w:r>
        <w:rPr>
          <w:rFonts w:hint="eastAsia" w:eastAsia="仿宋_GB2312" w:cs="仿宋_GB2312"/>
          <w:sz w:val="32"/>
          <w:szCs w:val="32"/>
        </w:rPr>
        <w:t>4.其他收入：</w:t>
      </w:r>
      <w:r>
        <w:rPr>
          <w:rFonts w:hint="eastAsia" w:ascii="Times New Roman" w:hAnsi="Times New Roman" w:eastAsia="仿宋_GB2312" w:cs="仿宋_GB2312"/>
          <w:color w:val="auto"/>
          <w:kern w:val="2"/>
          <w:sz w:val="32"/>
          <w:szCs w:val="32"/>
          <w:highlight w:val="none"/>
          <w:lang w:val="en-US" w:eastAsia="zh-CN" w:bidi="ar-SA"/>
        </w:rPr>
        <w:t>指单位取得的除上述收入以外的各项收入。</w:t>
      </w:r>
      <w:r>
        <w:rPr>
          <w:rFonts w:hint="eastAsia" w:ascii="仿宋_GB2312" w:eastAsia="仿宋_GB2312"/>
          <w:color w:val="auto"/>
          <w:sz w:val="32"/>
          <w:szCs w:val="32"/>
          <w:highlight w:val="none"/>
        </w:rPr>
        <w:t>主要是</w:t>
      </w:r>
      <w:r>
        <w:rPr>
          <w:rFonts w:hint="eastAsia" w:ascii="仿宋_GB2312" w:eastAsia="仿宋_GB2312"/>
          <w:sz w:val="32"/>
          <w:szCs w:val="32"/>
        </w:rPr>
        <w:t>房租收入、培训收入、利息收入</w:t>
      </w:r>
      <w:r>
        <w:rPr>
          <w:rFonts w:hint="eastAsia" w:ascii="仿宋_GB2312" w:eastAsia="仿宋_GB2312"/>
          <w:color w:val="auto"/>
          <w:sz w:val="32"/>
          <w:szCs w:val="32"/>
        </w:rPr>
        <w:t>等</w:t>
      </w:r>
      <w:r>
        <w:rPr>
          <w:rFonts w:hint="eastAsia" w:ascii="仿宋_GB2312" w:eastAsia="仿宋_GB2312"/>
          <w:color w:val="auto"/>
          <w:sz w:val="32"/>
          <w:szCs w:val="32"/>
          <w:lang w:eastAsia="zh-CN"/>
        </w:rPr>
        <w:t>。</w:t>
      </w:r>
      <w:r>
        <w:rPr>
          <w:rFonts w:hint="eastAsia" w:eastAsia="仿宋_GB2312" w:cs="仿宋_GB2312"/>
          <w:sz w:val="32"/>
          <w:szCs w:val="32"/>
        </w:rPr>
        <w:t xml:space="preserve"> </w:t>
      </w:r>
    </w:p>
    <w:p w14:paraId="445EC7FC">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2B771F0B">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4739DA81">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75824576">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2419FDA7">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科学技术支出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其他科学技术支出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其他科学技术支出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科研专项资金</w:t>
      </w:r>
      <w:r>
        <w:rPr>
          <w:rFonts w:hint="eastAsia" w:ascii="仿宋_GB2312" w:eastAsia="仿宋_GB2312"/>
          <w:color w:val="auto"/>
          <w:sz w:val="32"/>
          <w:szCs w:val="32"/>
          <w:highlight w:val="none"/>
        </w:rPr>
        <w:t>。</w:t>
      </w:r>
    </w:p>
    <w:p w14:paraId="2E793284">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行政事业单位养老支出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事业单位离退休</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离退休人员的生活补助</w:t>
      </w:r>
      <w:r>
        <w:rPr>
          <w:rFonts w:hint="eastAsia" w:ascii="仿宋_GB2312" w:eastAsia="仿宋_GB2312"/>
          <w:color w:val="auto"/>
          <w:sz w:val="32"/>
          <w:szCs w:val="32"/>
          <w:highlight w:val="none"/>
          <w:lang w:val="en-US" w:eastAsia="zh-CN"/>
        </w:rPr>
        <w:t>、离退休费、退休医疗补助、离退休党建经费</w:t>
      </w:r>
      <w:r>
        <w:rPr>
          <w:rFonts w:hint="eastAsia" w:ascii="仿宋_GB2312" w:eastAsia="仿宋_GB2312"/>
          <w:color w:val="auto"/>
          <w:sz w:val="32"/>
          <w:szCs w:val="32"/>
          <w:highlight w:val="none"/>
        </w:rPr>
        <w:t>。</w:t>
      </w:r>
    </w:p>
    <w:p w14:paraId="4DE8F343">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11</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行政事业单位养老支出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机关事业单位基本养老保险缴费支出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事业单位养老保险缴费</w:t>
      </w:r>
      <w:r>
        <w:rPr>
          <w:rFonts w:hint="eastAsia" w:ascii="仿宋_GB2312" w:eastAsia="仿宋_GB2312"/>
          <w:color w:val="auto"/>
          <w:sz w:val="32"/>
          <w:szCs w:val="32"/>
          <w:highlight w:val="none"/>
        </w:rPr>
        <w:t>。</w:t>
      </w:r>
    </w:p>
    <w:p w14:paraId="64B5BBB0">
      <w:pPr>
        <w:pStyle w:val="15"/>
        <w:rPr>
          <w:rFonts w:hint="eastAsia"/>
        </w:rPr>
      </w:pPr>
    </w:p>
    <w:p w14:paraId="164C2FE5">
      <w:pPr>
        <w:ind w:firstLine="640" w:firstLineChars="200"/>
        <w:rPr>
          <w:rFonts w:hint="eastAsia" w:ascii="仿宋_GB2312" w:hAnsi="Calibri" w:eastAsia="仿宋_GB2312" w:cs="仿宋"/>
          <w:kern w:val="0"/>
          <w:sz w:val="32"/>
          <w:szCs w:val="32"/>
        </w:rPr>
      </w:pPr>
      <w:r>
        <w:rPr>
          <w:rFonts w:hint="eastAsia" w:ascii="仿宋_GB2312" w:eastAsia="仿宋_GB2312"/>
          <w:color w:val="auto"/>
          <w:sz w:val="32"/>
          <w:szCs w:val="32"/>
          <w:highlight w:val="none"/>
          <w:lang w:val="en-US" w:eastAsia="zh-CN"/>
        </w:rPr>
        <w:t>12.</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行政事业单位养老支出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机关事业单位职业年金缴费支出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事业单位职业年金缴费</w:t>
      </w:r>
      <w:r>
        <w:rPr>
          <w:rFonts w:hint="eastAsia" w:ascii="仿宋_GB2312" w:eastAsia="仿宋_GB2312"/>
          <w:color w:val="auto"/>
          <w:sz w:val="32"/>
          <w:szCs w:val="32"/>
          <w:highlight w:val="none"/>
        </w:rPr>
        <w:t>。</w:t>
      </w:r>
    </w:p>
    <w:p w14:paraId="5ECA6332">
      <w:pPr>
        <w:pStyle w:val="15"/>
        <w:rPr>
          <w:rFonts w:hint="eastAsia"/>
        </w:rPr>
      </w:pPr>
    </w:p>
    <w:p w14:paraId="2A93331F">
      <w:pPr>
        <w:numPr>
          <w:ilvl w:val="0"/>
          <w:numId w:val="0"/>
        </w:numPr>
        <w:ind w:firstLine="640" w:firstLineChars="200"/>
        <w:rPr>
          <w:rFonts w:hint="eastAsia"/>
        </w:rPr>
      </w:pPr>
      <w:r>
        <w:rPr>
          <w:rFonts w:hint="eastAsia" w:ascii="仿宋_GB2312" w:eastAsia="仿宋_GB2312"/>
          <w:color w:val="auto"/>
          <w:sz w:val="32"/>
          <w:szCs w:val="32"/>
          <w:highlight w:val="none"/>
          <w:lang w:val="en-US" w:eastAsia="zh-CN"/>
        </w:rPr>
        <w:t>13.</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抚恤</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死亡抚恤</w:t>
      </w:r>
      <w:r>
        <w:rPr>
          <w:rFonts w:hint="eastAsia" w:ascii="仿宋_GB2312" w:eastAsia="仿宋_GB2312"/>
          <w:color w:val="auto"/>
          <w:sz w:val="32"/>
          <w:szCs w:val="32"/>
          <w:highlight w:val="none"/>
        </w:rPr>
        <w:t>（项）：指</w:t>
      </w:r>
      <w:r>
        <w:rPr>
          <w:rFonts w:hint="eastAsia" w:ascii="仿宋_GB2312" w:hAnsi="Calibri" w:eastAsia="仿宋_GB2312" w:cs="仿宋"/>
          <w:kern w:val="0"/>
          <w:sz w:val="32"/>
          <w:szCs w:val="32"/>
        </w:rPr>
        <w:t>事业单位离退休人员死亡抚恤金。</w:t>
      </w:r>
    </w:p>
    <w:p w14:paraId="04BF801E">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公立医院</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中医（民族）医院</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遗属生活补助</w:t>
      </w:r>
      <w:r>
        <w:rPr>
          <w:rFonts w:hint="eastAsia" w:ascii="仿宋_GB2312" w:eastAsia="仿宋_GB2312"/>
          <w:color w:val="auto"/>
          <w:sz w:val="32"/>
          <w:szCs w:val="32"/>
          <w:highlight w:val="none"/>
        </w:rPr>
        <w:t>。</w:t>
      </w:r>
    </w:p>
    <w:p w14:paraId="5DA08F3C">
      <w:pPr>
        <w:pStyle w:val="15"/>
        <w:rPr>
          <w:rFonts w:hint="eastAsia"/>
        </w:rPr>
      </w:pPr>
    </w:p>
    <w:p w14:paraId="162698F8">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公立医院</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其他公立医院支出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医疗服务与保障能力提升（公立医院综合改革）</w:t>
      </w:r>
      <w:r>
        <w:rPr>
          <w:rFonts w:hint="eastAsia" w:ascii="仿宋_GB2312" w:eastAsia="仿宋_GB2312"/>
          <w:color w:val="auto"/>
          <w:sz w:val="32"/>
          <w:szCs w:val="32"/>
          <w:highlight w:val="none"/>
        </w:rPr>
        <w:t>。</w:t>
      </w:r>
    </w:p>
    <w:p w14:paraId="08AA1AAE">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公共卫生</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基本公共卫生服务</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基本公共卫生服务卫生应急处置运维经费</w:t>
      </w:r>
      <w:r>
        <w:rPr>
          <w:rFonts w:hint="eastAsia" w:ascii="仿宋_GB2312" w:eastAsia="仿宋_GB2312"/>
          <w:color w:val="auto"/>
          <w:sz w:val="32"/>
          <w:szCs w:val="32"/>
          <w:highlight w:val="none"/>
        </w:rPr>
        <w:t>。</w:t>
      </w:r>
    </w:p>
    <w:p w14:paraId="20429C1E">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公共卫生</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重大公共卫生服务</w:t>
      </w:r>
      <w:r>
        <w:rPr>
          <w:rFonts w:hint="eastAsia" w:ascii="仿宋_GB2312" w:eastAsia="仿宋_GB2312"/>
          <w:color w:val="auto"/>
          <w:sz w:val="32"/>
          <w:szCs w:val="32"/>
          <w:highlight w:val="none"/>
        </w:rPr>
        <w:t>（项）：指</w:t>
      </w:r>
      <w:r>
        <w:rPr>
          <w:rFonts w:hint="eastAsia" w:ascii="仿宋_GB2312" w:hAnsi="Calibri" w:eastAsia="仿宋_GB2312" w:cs="仿宋"/>
          <w:kern w:val="0"/>
          <w:sz w:val="32"/>
          <w:szCs w:val="32"/>
        </w:rPr>
        <w:t>重大传染病防控经费</w:t>
      </w:r>
      <w:r>
        <w:rPr>
          <w:rFonts w:hint="eastAsia" w:ascii="仿宋_GB2312" w:eastAsia="仿宋_GB2312"/>
          <w:color w:val="auto"/>
          <w:sz w:val="32"/>
          <w:szCs w:val="32"/>
          <w:highlight w:val="none"/>
        </w:rPr>
        <w:t>。</w:t>
      </w:r>
    </w:p>
    <w:p w14:paraId="4A996568">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8</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公共卫生</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其他公共卫生支出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干部医疗保健（重大活动保障）资金</w:t>
      </w:r>
      <w:r>
        <w:rPr>
          <w:rFonts w:hint="eastAsia" w:ascii="仿宋_GB2312" w:eastAsia="仿宋_GB2312"/>
          <w:color w:val="auto"/>
          <w:sz w:val="32"/>
          <w:szCs w:val="32"/>
          <w:highlight w:val="none"/>
        </w:rPr>
        <w:t>。</w:t>
      </w:r>
    </w:p>
    <w:p w14:paraId="2AD140F0">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行政事业单位医疗</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事业单位医疗</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事业单位医疗保险缴费</w:t>
      </w:r>
      <w:r>
        <w:rPr>
          <w:rFonts w:hint="eastAsia" w:ascii="仿宋_GB2312" w:eastAsia="仿宋_GB2312"/>
          <w:color w:val="auto"/>
          <w:sz w:val="32"/>
          <w:szCs w:val="32"/>
          <w:highlight w:val="none"/>
        </w:rPr>
        <w:t>。</w:t>
      </w:r>
    </w:p>
    <w:p w14:paraId="1608A3FB">
      <w:pPr>
        <w:pStyle w:val="15"/>
        <w:rPr>
          <w:rFonts w:hint="eastAsia"/>
        </w:rPr>
      </w:pPr>
    </w:p>
    <w:p w14:paraId="70CC57F5">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20</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中医药事务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中医</w:t>
      </w:r>
      <w:r>
        <w:rPr>
          <w:rFonts w:hint="eastAsia" w:ascii="仿宋_GB2312" w:eastAsia="仿宋_GB2312"/>
          <w:color w:val="auto"/>
          <w:sz w:val="32"/>
          <w:szCs w:val="32"/>
          <w:highlight w:val="none"/>
          <w:lang w:val="en-US" w:eastAsia="zh-CN"/>
        </w:rPr>
        <w:t>（民族医）药专项</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医疗服务与保障能力提升（中医药事业传承与发展部分）、中医药发展专项资金</w:t>
      </w:r>
      <w:r>
        <w:rPr>
          <w:rFonts w:hint="eastAsia" w:ascii="仿宋_GB2312" w:eastAsia="仿宋_GB2312"/>
          <w:color w:val="auto"/>
          <w:sz w:val="32"/>
          <w:szCs w:val="32"/>
          <w:highlight w:val="none"/>
        </w:rPr>
        <w:t>。</w:t>
      </w:r>
    </w:p>
    <w:p w14:paraId="460F580C">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21</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其他卫生健康支出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其他卫生健康支出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医疗服务与保障能力提升（公立医院改革）资金</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lang w:eastAsia="zh-CN"/>
        </w:rPr>
        <w:t>卫生健康专项（医学科学研究）、医疗服务与保障能力提升（卫生健康人才培养）、</w:t>
      </w:r>
      <w:r>
        <w:rPr>
          <w:rFonts w:hint="eastAsia" w:ascii="仿宋_GB2312" w:eastAsia="仿宋_GB2312"/>
          <w:color w:val="auto"/>
          <w:sz w:val="32"/>
          <w:szCs w:val="32"/>
          <w:highlight w:val="none"/>
          <w:lang w:val="en-US" w:eastAsia="zh-CN"/>
        </w:rPr>
        <w:t>2025年人才专项经费等</w:t>
      </w:r>
      <w:r>
        <w:rPr>
          <w:rFonts w:hint="eastAsia" w:ascii="仿宋_GB2312" w:eastAsia="仿宋_GB2312"/>
          <w:color w:val="auto"/>
          <w:sz w:val="32"/>
          <w:szCs w:val="32"/>
          <w:highlight w:val="none"/>
          <w:lang w:eastAsia="zh-CN"/>
        </w:rPr>
        <w:t>资金</w:t>
      </w:r>
      <w:r>
        <w:rPr>
          <w:rFonts w:hint="eastAsia" w:ascii="仿宋_GB2312" w:eastAsia="仿宋_GB2312"/>
          <w:color w:val="auto"/>
          <w:sz w:val="32"/>
          <w:szCs w:val="32"/>
          <w:highlight w:val="none"/>
        </w:rPr>
        <w:t>。</w:t>
      </w:r>
    </w:p>
    <w:p w14:paraId="62712C32">
      <w:pPr>
        <w:spacing w:line="600" w:lineRule="exact"/>
        <w:ind w:firstLine="640" w:firstLineChars="200"/>
        <w:rPr>
          <w:rFonts w:ascii="仿宋_GB2312" w:hAnsi="Calibri" w:eastAsia="仿宋_GB2312" w:cs="仿宋"/>
          <w:kern w:val="0"/>
          <w:sz w:val="32"/>
          <w:szCs w:val="32"/>
        </w:rPr>
      </w:pPr>
      <w:r>
        <w:rPr>
          <w:rFonts w:hint="eastAsia" w:ascii="仿宋_GB2312" w:hAnsi="Calibri" w:eastAsia="仿宋_GB2312" w:cs="仿宋"/>
          <w:kern w:val="0"/>
          <w:sz w:val="32"/>
          <w:szCs w:val="32"/>
        </w:rPr>
        <w:t>2</w:t>
      </w:r>
      <w:r>
        <w:rPr>
          <w:rFonts w:hint="eastAsia" w:ascii="仿宋_GB2312" w:hAnsi="Calibri" w:eastAsia="仿宋_GB2312" w:cs="仿宋"/>
          <w:kern w:val="0"/>
          <w:sz w:val="32"/>
          <w:szCs w:val="32"/>
          <w:lang w:val="en-US" w:eastAsia="zh-CN"/>
        </w:rPr>
        <w:t>2</w:t>
      </w:r>
      <w:r>
        <w:rPr>
          <w:rFonts w:hint="eastAsia" w:ascii="仿宋_GB2312" w:hAnsi="Calibri" w:eastAsia="仿宋_GB2312" w:cs="仿宋"/>
          <w:kern w:val="0"/>
          <w:sz w:val="32"/>
          <w:szCs w:val="32"/>
        </w:rPr>
        <w:t>.住房保障支出（类）住房改革支出（款）住房公积金（项）</w:t>
      </w:r>
      <w:r>
        <w:rPr>
          <w:rFonts w:hint="eastAsia" w:ascii="仿宋_GB2312" w:hAnsi="Calibri" w:eastAsia="仿宋_GB2312" w:cs="仿宋"/>
          <w:kern w:val="0"/>
          <w:sz w:val="32"/>
          <w:szCs w:val="32"/>
          <w:lang w:eastAsia="zh-CN"/>
        </w:rPr>
        <w:t>：</w:t>
      </w:r>
      <w:r>
        <w:rPr>
          <w:rFonts w:hint="eastAsia" w:ascii="仿宋_GB2312" w:hAnsi="Calibri" w:eastAsia="仿宋_GB2312" w:cs="仿宋"/>
          <w:kern w:val="0"/>
          <w:sz w:val="32"/>
          <w:szCs w:val="32"/>
        </w:rPr>
        <w:t>指职工住房公积金支出。</w:t>
      </w:r>
    </w:p>
    <w:p w14:paraId="003143DF">
      <w:pPr>
        <w:spacing w:line="600" w:lineRule="exact"/>
        <w:ind w:firstLine="640"/>
        <w:rPr>
          <w:rFonts w:eastAsia="仿宋_GB2312" w:cs="仿宋_GB2312"/>
          <w:sz w:val="32"/>
          <w:szCs w:val="32"/>
        </w:rPr>
      </w:pPr>
      <w:r>
        <w:rPr>
          <w:rFonts w:hint="eastAsia" w:eastAsia="仿宋_GB2312" w:cs="仿宋_GB2312"/>
          <w:sz w:val="32"/>
          <w:szCs w:val="32"/>
        </w:rPr>
        <w:t>2</w:t>
      </w:r>
      <w:r>
        <w:rPr>
          <w:rFonts w:hint="eastAsia" w:eastAsia="仿宋_GB2312" w:cs="仿宋_GB2312"/>
          <w:sz w:val="32"/>
          <w:szCs w:val="32"/>
          <w:lang w:val="en-US" w:eastAsia="zh-CN"/>
        </w:rPr>
        <w:t>3</w:t>
      </w:r>
      <w:r>
        <w:rPr>
          <w:rFonts w:hint="eastAsia" w:eastAsia="仿宋_GB2312" w:cs="仿宋_GB2312"/>
          <w:sz w:val="32"/>
          <w:szCs w:val="32"/>
        </w:rPr>
        <w:t>.基本支出：指为保障机构正常运转、完成日常工作任务而发生的人员支出和公用支出。</w:t>
      </w:r>
    </w:p>
    <w:p w14:paraId="1BD2F2D3">
      <w:pPr>
        <w:spacing w:line="600" w:lineRule="exact"/>
        <w:ind w:firstLine="640"/>
        <w:rPr>
          <w:rFonts w:eastAsia="仿宋_GB2312" w:cs="仿宋_GB2312"/>
          <w:sz w:val="32"/>
          <w:szCs w:val="32"/>
        </w:rPr>
      </w:pPr>
      <w:r>
        <w:rPr>
          <w:rFonts w:hint="eastAsia" w:eastAsia="仿宋_GB2312" w:cs="仿宋_GB2312"/>
          <w:sz w:val="32"/>
          <w:szCs w:val="32"/>
        </w:rPr>
        <w:t>2</w:t>
      </w:r>
      <w:r>
        <w:rPr>
          <w:rFonts w:hint="eastAsia" w:eastAsia="仿宋_GB2312" w:cs="仿宋_GB2312"/>
          <w:sz w:val="32"/>
          <w:szCs w:val="32"/>
          <w:lang w:val="en-US" w:eastAsia="zh-CN"/>
        </w:rPr>
        <w:t>4</w:t>
      </w:r>
      <w:r>
        <w:rPr>
          <w:rFonts w:hint="eastAsia" w:eastAsia="仿宋_GB2312" w:cs="仿宋_GB2312"/>
          <w:sz w:val="32"/>
          <w:szCs w:val="32"/>
        </w:rPr>
        <w:t xml:space="preserve">.项目支出：指在基本支出之外为完成特定行政任务和事业发展目标所发生的支出。 </w:t>
      </w:r>
    </w:p>
    <w:p w14:paraId="6AD21B93">
      <w:pPr>
        <w:spacing w:line="600" w:lineRule="exact"/>
        <w:ind w:firstLine="640"/>
        <w:rPr>
          <w:rFonts w:eastAsia="仿宋_GB2312" w:cs="仿宋_GB2312"/>
          <w:sz w:val="32"/>
          <w:szCs w:val="32"/>
        </w:rPr>
      </w:pPr>
      <w:r>
        <w:rPr>
          <w:rFonts w:hint="eastAsia" w:eastAsia="仿宋_GB2312" w:cs="仿宋_GB2312"/>
          <w:sz w:val="32"/>
          <w:szCs w:val="32"/>
        </w:rPr>
        <w:t>2</w:t>
      </w:r>
      <w:r>
        <w:rPr>
          <w:rFonts w:hint="eastAsia" w:eastAsia="仿宋_GB2312" w:cs="仿宋_GB2312"/>
          <w:sz w:val="32"/>
          <w:szCs w:val="32"/>
          <w:lang w:val="en-US" w:eastAsia="zh-CN"/>
        </w:rPr>
        <w:t>5</w:t>
      </w:r>
      <w:r>
        <w:rPr>
          <w:rFonts w:hint="eastAsia" w:eastAsia="仿宋_GB2312" w:cs="仿宋_GB2312"/>
          <w:sz w:val="32"/>
          <w:szCs w:val="32"/>
        </w:rPr>
        <w:t>.经营支出：指事业单位在专业业务活动及其辅助活动之外开展非独立核算经营活动发生的支出。</w:t>
      </w:r>
    </w:p>
    <w:p w14:paraId="2D02981A">
      <w:pPr>
        <w:spacing w:line="600" w:lineRule="exact"/>
        <w:ind w:firstLine="640"/>
        <w:rPr>
          <w:rFonts w:eastAsia="仿宋_GB2312" w:cs="仿宋_GB2312"/>
          <w:sz w:val="32"/>
          <w:szCs w:val="32"/>
        </w:rPr>
      </w:pPr>
      <w:r>
        <w:rPr>
          <w:rFonts w:hint="eastAsia" w:eastAsia="仿宋_GB2312" w:cs="仿宋_GB2312"/>
          <w:sz w:val="32"/>
          <w:szCs w:val="32"/>
          <w:lang w:val="en-US" w:eastAsia="zh-CN"/>
        </w:rPr>
        <w:t>26</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982C83B">
      <w:pPr>
        <w:spacing w:line="600" w:lineRule="exact"/>
        <w:ind w:firstLine="640"/>
        <w:rPr>
          <w:rFonts w:eastAsia="仿宋_GB2312" w:cs="仿宋_GB2312"/>
          <w:sz w:val="32"/>
          <w:szCs w:val="32"/>
        </w:rPr>
      </w:pPr>
      <w:r>
        <w:rPr>
          <w:rFonts w:hint="eastAsia" w:eastAsia="仿宋_GB2312" w:cs="仿宋_GB2312"/>
          <w:sz w:val="32"/>
          <w:szCs w:val="32"/>
          <w:lang w:val="en-US" w:eastAsia="zh-CN"/>
        </w:rPr>
        <w:t>27</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8996544">
      <w:pPr>
        <w:spacing w:line="600" w:lineRule="exact"/>
        <w:ind w:firstLine="640"/>
        <w:rPr>
          <w:rFonts w:eastAsia="仿宋_GB2312" w:cs="仿宋_GB2312"/>
          <w:b/>
          <w:bCs/>
          <w:sz w:val="32"/>
          <w:szCs w:val="32"/>
        </w:rPr>
      </w:pPr>
    </w:p>
    <w:p w14:paraId="538679D0">
      <w:pPr>
        <w:spacing w:line="600" w:lineRule="exact"/>
        <w:jc w:val="center"/>
        <w:outlineLvl w:val="0"/>
        <w:rPr>
          <w:rFonts w:eastAsia="黑体" w:cs="黑体"/>
          <w:color w:val="FF0000"/>
          <w:sz w:val="32"/>
          <w:szCs w:val="32"/>
        </w:rPr>
      </w:pPr>
      <w:bookmarkStart w:id="144" w:name="_Toc15377226"/>
      <w:r>
        <w:rPr>
          <w:rFonts w:hint="eastAsia" w:eastAsia="仿宋_GB2312" w:cs="仿宋_GB2312"/>
          <w:sz w:val="32"/>
          <w:szCs w:val="32"/>
        </w:rPr>
        <w:br w:type="page"/>
      </w:r>
      <w:bookmarkStart w:id="145" w:name="_Toc23762"/>
      <w:bookmarkStart w:id="146" w:name="_Toc15933"/>
      <w:bookmarkStart w:id="147" w:name="_Toc9017"/>
      <w:bookmarkStart w:id="148" w:name="_Toc1252"/>
      <w:bookmarkStart w:id="149" w:name="_Toc7018"/>
      <w:bookmarkStart w:id="150" w:name="_Toc14502"/>
      <w:bookmarkStart w:id="151" w:name="_Toc40"/>
      <w:bookmarkStart w:id="152" w:name="_Toc15396614"/>
      <w:bookmarkStart w:id="153" w:name="_Toc16127"/>
      <w:bookmarkStart w:id="154" w:name="_Toc1986"/>
      <w:r>
        <w:rPr>
          <w:rStyle w:val="30"/>
          <w:rFonts w:hint="eastAsia"/>
        </w:rPr>
        <w:t>第四部分</w:t>
      </w:r>
      <w:r>
        <w:rPr>
          <w:rStyle w:val="30"/>
          <w:rFonts w:hint="eastAsia"/>
          <w:lang w:val="en-US" w:eastAsia="zh-CN"/>
        </w:rPr>
        <w:t xml:space="preserve"> </w:t>
      </w:r>
      <w:r>
        <w:rPr>
          <w:rStyle w:val="30"/>
          <w:rFonts w:hint="eastAsia"/>
        </w:rPr>
        <w:t xml:space="preserve"> 附件</w:t>
      </w:r>
      <w:bookmarkEnd w:id="145"/>
      <w:bookmarkEnd w:id="146"/>
      <w:bookmarkEnd w:id="147"/>
      <w:bookmarkEnd w:id="148"/>
      <w:bookmarkEnd w:id="149"/>
      <w:bookmarkEnd w:id="150"/>
      <w:bookmarkEnd w:id="151"/>
      <w:bookmarkEnd w:id="152"/>
      <w:bookmarkEnd w:id="153"/>
      <w:bookmarkEnd w:id="154"/>
    </w:p>
    <w:p w14:paraId="0E7CAB9D">
      <w:pPr>
        <w:pStyle w:val="15"/>
      </w:pPr>
    </w:p>
    <w:p w14:paraId="10E12BB1">
      <w:pPr>
        <w:spacing w:line="572" w:lineRule="exact"/>
        <w:jc w:val="left"/>
        <w:outlineLvl w:val="0"/>
        <w:rPr>
          <w:rFonts w:eastAsia="黑体" w:cs="方正小标宋简体"/>
          <w:sz w:val="44"/>
          <w:szCs w:val="44"/>
        </w:rPr>
      </w:pPr>
      <w:bookmarkStart w:id="155" w:name="_Toc31227"/>
      <w:bookmarkStart w:id="156" w:name="_Toc6508"/>
      <w:r>
        <w:rPr>
          <w:rFonts w:hint="eastAsia" w:eastAsia="黑体" w:cs="黑体"/>
          <w:sz w:val="32"/>
          <w:szCs w:val="32"/>
        </w:rPr>
        <w:t>附件1</w:t>
      </w:r>
      <w:bookmarkEnd w:id="155"/>
      <w:bookmarkEnd w:id="156"/>
    </w:p>
    <w:p w14:paraId="2E13CEEC">
      <w:pPr>
        <w:widowControl/>
        <w:spacing w:line="578" w:lineRule="exact"/>
        <w:contextualSpacing/>
        <w:jc w:val="center"/>
        <w:rPr>
          <w:rFonts w:eastAsia="方正小标宋简体"/>
          <w:bCs/>
          <w:sz w:val="44"/>
          <w:szCs w:val="44"/>
          <w:shd w:val="clear" w:color="auto" w:fill="FFFFFF"/>
        </w:rPr>
      </w:pPr>
    </w:p>
    <w:p w14:paraId="31C1AE9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val="en-US" w:eastAsia="zh-CN"/>
        </w:rPr>
        <w:t>2025</w:t>
      </w:r>
      <w:r>
        <w:rPr>
          <w:rFonts w:hint="eastAsia" w:ascii="Times New Roman" w:hAnsi="Times New Roman" w:eastAsia="方正小标宋简体" w:cs="Times New Roman"/>
          <w:b w:val="0"/>
          <w:bCs/>
          <w:sz w:val="44"/>
          <w:szCs w:val="44"/>
          <w:highlight w:val="none"/>
          <w:shd w:val="clear" w:color="auto" w:fill="FFFFFF"/>
          <w:lang w:val="en-US" w:eastAsia="zh-CN"/>
        </w:rPr>
        <w:t>年四川省攀枝花市中西医</w:t>
      </w:r>
    </w:p>
    <w:p w14:paraId="19EDF21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ascii="Times New Roman" w:hAnsi="Times New Roman" w:eastAsia="方正小标宋简体" w:cs="Times New Roman"/>
          <w:b w:val="0"/>
          <w:bCs/>
          <w:sz w:val="44"/>
          <w:szCs w:val="44"/>
          <w:highlight w:val="none"/>
          <w:shd w:val="clear" w:color="auto" w:fill="FFFFFF"/>
          <w:lang w:val="en-US" w:eastAsia="zh-CN"/>
        </w:rPr>
        <w:t>结合医院</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3011B09B">
      <w:pPr>
        <w:widowControl/>
        <w:spacing w:line="578" w:lineRule="exact"/>
        <w:contextualSpacing/>
        <w:jc w:val="center"/>
        <w:rPr>
          <w:rFonts w:eastAsia="仿宋_GB2312"/>
          <w:sz w:val="32"/>
          <w:szCs w:val="32"/>
          <w:shd w:val="clear" w:color="auto" w:fill="FFFFFF"/>
        </w:rPr>
      </w:pPr>
      <w:r>
        <w:rPr>
          <w:rFonts w:eastAsia="仿宋_GB2312"/>
          <w:sz w:val="32"/>
          <w:szCs w:val="32"/>
          <w:shd w:val="clear" w:color="auto" w:fill="FFFFFF"/>
        </w:rPr>
        <w:t>（报告范围包括机关和下属单位）</w:t>
      </w:r>
    </w:p>
    <w:p w14:paraId="10045331">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48A859BA">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6C83AE8F">
      <w:pPr>
        <w:widowControl/>
        <w:adjustRightInd w:val="0"/>
        <w:snapToGrid w:val="0"/>
        <w:spacing w:line="578" w:lineRule="exact"/>
        <w:ind w:firstLine="643" w:firstLineChars="200"/>
        <w:contextualSpacing/>
        <w:jc w:val="left"/>
        <w:rPr>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eastAsia" w:eastAsia="仿宋_GB2312" w:cs="仿宋_GB2312"/>
          <w:sz w:val="32"/>
          <w:szCs w:val="32"/>
          <w:lang w:val="zh-CN"/>
        </w:rPr>
        <w:t>攀枝花市中西医结合医院为</w:t>
      </w:r>
      <w:r>
        <w:rPr>
          <w:rFonts w:hint="eastAsia" w:eastAsia="仿宋_GB2312" w:cs="仿宋_GB2312"/>
          <w:sz w:val="32"/>
          <w:szCs w:val="32"/>
          <w:lang w:val="zh-CN" w:eastAsia="zh-CN"/>
        </w:rPr>
        <w:t>公益二类</w:t>
      </w:r>
      <w:r>
        <w:rPr>
          <w:rFonts w:hint="eastAsia" w:eastAsia="仿宋_GB2312" w:cs="仿宋_GB2312"/>
          <w:sz w:val="32"/>
          <w:szCs w:val="32"/>
          <w:lang w:val="zh-CN"/>
        </w:rPr>
        <w:t>事业单位1个，内设管理科室15个、医技科室12个、临床科室42个，下属二级预算单位0个。</w:t>
      </w:r>
    </w:p>
    <w:p w14:paraId="5BF7AE0F">
      <w:pPr>
        <w:widowControl/>
        <w:adjustRightInd w:val="0"/>
        <w:snapToGrid w:val="0"/>
        <w:spacing w:line="578" w:lineRule="exact"/>
        <w:ind w:firstLine="643" w:firstLineChars="200"/>
        <w:contextualSpacing/>
        <w:jc w:val="left"/>
        <w:rPr>
          <w:rFonts w:eastAsia="楷体_GB2312"/>
          <w:b/>
          <w:bCs/>
          <w:color w:val="000000"/>
          <w:kern w:val="0"/>
          <w:szCs w:val="32"/>
          <w:shd w:val="clear" w:color="auto" w:fill="FFFFFF"/>
          <w:lang w:val="zh-CN"/>
        </w:rPr>
      </w:pPr>
      <w:r>
        <w:rPr>
          <w:rFonts w:eastAsia="楷体_GB2312" w:cs="楷体_GB2312"/>
          <w:b/>
          <w:sz w:val="32"/>
          <w:szCs w:val="32"/>
          <w:lang w:val="zh-CN"/>
        </w:rPr>
        <w:t>（二）机构职能</w:t>
      </w:r>
      <w:r>
        <w:rPr>
          <w:rFonts w:hint="eastAsia" w:eastAsia="楷体_GB2312" w:cs="楷体_GB2312"/>
          <w:b/>
          <w:sz w:val="32"/>
          <w:szCs w:val="32"/>
          <w:lang w:val="zh-CN"/>
        </w:rPr>
        <w:t>。</w:t>
      </w:r>
      <w:r>
        <w:rPr>
          <w:rFonts w:hint="eastAsia" w:ascii="Times New Roman" w:hAnsi="Times New Roman" w:eastAsia="仿宋_GB2312" w:cs="Times New Roman"/>
          <w:sz w:val="32"/>
          <w:szCs w:val="32"/>
          <w:lang w:val="zh-CN" w:eastAsia="zh-CN"/>
        </w:rPr>
        <w:t>攀枝花市中西医结合医院是集医疗、预防、保健、防疫与健康教育、科研教学为一体的三级甲等中西医结合医院；主要服务攀枝花市百万人口，辐射云南省华坪、宁蒗、凉山州会理、会东、德昌、盐源、木里等县，承担医疗、预防、</w:t>
      </w:r>
      <w:r>
        <w:rPr>
          <w:rFonts w:hint="eastAsia" w:eastAsia="仿宋_GB2312" w:cs="Times New Roman"/>
          <w:sz w:val="32"/>
          <w:szCs w:val="32"/>
          <w:lang w:val="zh-CN" w:eastAsia="zh-CN"/>
        </w:rPr>
        <w:t>保健</w:t>
      </w:r>
      <w:r>
        <w:rPr>
          <w:rFonts w:hint="eastAsia" w:ascii="Times New Roman" w:hAnsi="Times New Roman" w:eastAsia="仿宋_GB2312" w:cs="Times New Roman"/>
          <w:sz w:val="32"/>
          <w:szCs w:val="32"/>
          <w:lang w:val="zh-CN" w:eastAsia="zh-CN"/>
        </w:rPr>
        <w:t>、教学实习、市内传染病、职业病和非传染性慢性病的防控，群众健康教育工作以及应对各种突发性公共卫生事件和医疗抢救工作。</w:t>
      </w:r>
    </w:p>
    <w:p w14:paraId="577B805E">
      <w:pPr>
        <w:spacing w:line="600" w:lineRule="exact"/>
        <w:ind w:firstLine="643" w:firstLineChars="200"/>
        <w:rPr>
          <w:rFonts w:eastAsia="仿宋_GB2312"/>
          <w:sz w:val="32"/>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。截至</w:t>
      </w:r>
      <w:r>
        <w:rPr>
          <w:rFonts w:hint="eastAsia" w:eastAsia="仿宋_GB2312"/>
          <w:sz w:val="32"/>
          <w:szCs w:val="32"/>
          <w:lang w:val="zh-CN"/>
        </w:rPr>
        <w:t>2025年末，四川省攀枝花市中西医结合医院人员编制数665人，年末实有人数1703人，其中在编职工468人，招聘人员986人，规培学员249人。包含卫生专业人员1434人（其中主任医师69人，副主任医师93人，主治医师170人，住院医师103人，药师（士）66人，技师（士）97人，主任护师14人，副主任护师45人，其他护士598人，其他卫生技术人员179人），机关后勤人员109人，工勤技能人员160人。</w:t>
      </w:r>
    </w:p>
    <w:p w14:paraId="301E6172">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7B5CF050">
      <w:pPr>
        <w:widowControl/>
        <w:adjustRightInd w:val="0"/>
        <w:snapToGrid w:val="0"/>
        <w:spacing w:line="578" w:lineRule="exact"/>
        <w:ind w:firstLine="643" w:firstLineChars="200"/>
        <w:contextualSpacing/>
        <w:jc w:val="left"/>
        <w:rPr>
          <w:rFonts w:eastAsia="楷体_GB2312"/>
          <w:b/>
          <w:bCs/>
          <w:color w:val="000000"/>
          <w:kern w:val="0"/>
          <w:szCs w:val="32"/>
          <w:shd w:val="clear" w:color="auto" w:fill="FFFFFF"/>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eastAsia="仿宋_GB2312"/>
          <w:sz w:val="32"/>
          <w:szCs w:val="32"/>
          <w:lang w:val="zh-CN"/>
        </w:rPr>
        <w:t>四川省攀枝花市中西医结合医院2025年年初预算收入91677.2万元，其中一般公共预算财政拨款收入788.25万元、事业收入90888.95万元；2025年决算报表收入96275.47万元，其中一般公共预算财政拨款收入2879.58万元、事业收入92432.4万元、其他收入963.48万元。</w:t>
      </w:r>
    </w:p>
    <w:p w14:paraId="250EEB60">
      <w:pPr>
        <w:widowControl/>
        <w:adjustRightInd w:val="0"/>
        <w:snapToGrid w:val="0"/>
        <w:spacing w:line="578" w:lineRule="exact"/>
        <w:ind w:firstLine="643" w:firstLineChars="200"/>
        <w:contextualSpacing/>
        <w:jc w:val="left"/>
        <w:rPr>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eastAsia="仿宋_GB2312"/>
          <w:sz w:val="32"/>
          <w:szCs w:val="32"/>
          <w:lang w:eastAsia="zh-CN"/>
        </w:rPr>
        <w:t>四川省</w:t>
      </w:r>
      <w:r>
        <w:rPr>
          <w:rFonts w:hint="eastAsia" w:eastAsia="仿宋_GB2312"/>
          <w:sz w:val="32"/>
          <w:szCs w:val="32"/>
          <w:lang w:val="zh-CN" w:eastAsia="zh-CN"/>
        </w:rPr>
        <w:t>攀枝</w:t>
      </w:r>
      <w:r>
        <w:rPr>
          <w:rFonts w:hint="eastAsia" w:eastAsia="仿宋_GB2312"/>
          <w:sz w:val="32"/>
          <w:szCs w:val="32"/>
          <w:lang w:val="zh-CN"/>
        </w:rPr>
        <w:t>花市中西医结合医院2025年年初预算支出91677.2万元，其中社会保障和就业支出4034.32万元、卫生健康支出85522.84万元、住房保障支出2120.04万元；2025年决算报表支出92600.05万元，其中科学技术支出55.00万元、社会保障和就业支出3871.32万元、卫生健康支出86559.33万元、住房保障支出2114.4万元。用于工资福利支出</w:t>
      </w:r>
      <w:r>
        <w:rPr>
          <w:rFonts w:hint="eastAsia" w:eastAsia="仿宋_GB2312"/>
          <w:sz w:val="32"/>
          <w:szCs w:val="32"/>
          <w:lang w:val="en-US" w:eastAsia="zh-CN"/>
        </w:rPr>
        <w:t>35033.09</w:t>
      </w:r>
      <w:r>
        <w:rPr>
          <w:rFonts w:hint="eastAsia" w:eastAsia="仿宋_GB2312"/>
          <w:sz w:val="32"/>
          <w:szCs w:val="32"/>
          <w:lang w:val="zh-CN"/>
        </w:rPr>
        <w:t>万元、商品和服务支出</w:t>
      </w:r>
      <w:r>
        <w:rPr>
          <w:rFonts w:hint="eastAsia" w:eastAsia="仿宋_GB2312"/>
          <w:sz w:val="32"/>
          <w:szCs w:val="32"/>
          <w:lang w:val="en-US" w:eastAsia="zh-CN"/>
        </w:rPr>
        <w:t>51367.38</w:t>
      </w:r>
      <w:r>
        <w:rPr>
          <w:rFonts w:hint="eastAsia" w:eastAsia="仿宋_GB2312"/>
          <w:sz w:val="32"/>
          <w:szCs w:val="32"/>
          <w:lang w:val="zh-CN"/>
        </w:rPr>
        <w:t>万元、对个人和家庭的补助</w:t>
      </w:r>
      <w:r>
        <w:rPr>
          <w:rFonts w:hint="eastAsia" w:eastAsia="仿宋_GB2312"/>
          <w:sz w:val="32"/>
          <w:szCs w:val="32"/>
          <w:lang w:val="en-US" w:eastAsia="zh-CN"/>
        </w:rPr>
        <w:t>1558.55万元、</w:t>
      </w:r>
      <w:r>
        <w:rPr>
          <w:rFonts w:hint="eastAsia" w:eastAsia="仿宋_GB2312"/>
          <w:sz w:val="32"/>
          <w:szCs w:val="32"/>
          <w:lang w:val="zh-CN"/>
        </w:rPr>
        <w:t>债务利息及费用支出</w:t>
      </w:r>
      <w:r>
        <w:rPr>
          <w:rFonts w:hint="eastAsia" w:eastAsia="仿宋_GB2312"/>
          <w:sz w:val="32"/>
          <w:szCs w:val="32"/>
          <w:lang w:val="en-US" w:eastAsia="zh-CN"/>
        </w:rPr>
        <w:t>220.2</w:t>
      </w:r>
      <w:r>
        <w:rPr>
          <w:rFonts w:hint="eastAsia" w:eastAsia="仿宋_GB2312"/>
          <w:sz w:val="32"/>
          <w:szCs w:val="32"/>
          <w:lang w:val="zh-CN"/>
        </w:rPr>
        <w:t>万元、资本性支出4420.83万元。</w:t>
      </w:r>
    </w:p>
    <w:p w14:paraId="6BE98760">
      <w:pPr>
        <w:widowControl/>
        <w:adjustRightInd w:val="0"/>
        <w:snapToGrid w:val="0"/>
        <w:spacing w:line="578" w:lineRule="exact"/>
        <w:ind w:firstLine="643" w:firstLineChars="200"/>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eastAsia="仿宋_GB2312"/>
          <w:sz w:val="32"/>
          <w:szCs w:val="32"/>
          <w:lang w:val="zh-CN" w:eastAsia="zh-CN"/>
        </w:rPr>
        <w:t>四川省</w:t>
      </w:r>
      <w:r>
        <w:rPr>
          <w:rFonts w:hint="eastAsia" w:eastAsia="仿宋_GB2312"/>
          <w:sz w:val="32"/>
          <w:szCs w:val="32"/>
          <w:lang w:val="en-US" w:eastAsia="zh-CN"/>
        </w:rPr>
        <w:t>攀枝花市中西医结合医院2025年决算报表结余分配1470.17万元，年初结转结余17625.16万元、年末结转结余19830.41万元。</w:t>
      </w:r>
    </w:p>
    <w:p w14:paraId="63F1494E">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7069F649">
      <w:pPr>
        <w:adjustRightInd w:val="0"/>
        <w:snapToGrid w:val="0"/>
        <w:spacing w:line="578" w:lineRule="exact"/>
        <w:ind w:firstLine="643" w:firstLineChars="200"/>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14:paraId="28C705A6">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1.</w:t>
      </w:r>
      <w:r>
        <w:rPr>
          <w:rFonts w:hint="eastAsia" w:eastAsia="仿宋_GB2312" w:cs="仿宋_GB2312"/>
          <w:sz w:val="32"/>
          <w:szCs w:val="32"/>
          <w:lang w:val="zh-CN"/>
        </w:rPr>
        <w:t>履职效能。</w:t>
      </w:r>
    </w:p>
    <w:p w14:paraId="27CBA412">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（1） 2025年门急诊1218886人次，平均门诊人次收费水平300.05元。</w:t>
      </w:r>
    </w:p>
    <w:p w14:paraId="6B966138">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（2） 2025年开设病床1225张。实际开放床日499100日，实际占用床日510654日（其中：出院者占用床日489886日），病床使用率102.3%。每床日平均收费1074.60元（其中：药品170.06元）。</w:t>
      </w:r>
    </w:p>
    <w:p w14:paraId="38D9BE72">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（3）2025年年初留院病人1890人，全年入院病人64241人，出院人次64608人次；年末留院病人1523人。本年度出院病人治疗情况：合计64608人，其中治愈31235人，好转32089人，未愈168人，死亡462人，其他654人。</w:t>
      </w:r>
    </w:p>
    <w:p w14:paraId="0904DEF1">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 xml:space="preserve">（4）2025年新增市级质控分中心1个，全院挂靠市级质控中心增至16个。新增联盟及工作站十余个。与十余家市外医疗机构建立合作关系，开展义诊、教学查房、管理帮扶等活动数十次，服务群众超万人次，在重点线路上开展健康宣教，覆盖数千人。 </w:t>
      </w:r>
    </w:p>
    <w:p w14:paraId="3E0362ED">
      <w:pPr>
        <w:adjustRightInd w:val="0"/>
        <w:snapToGrid w:val="0"/>
        <w:spacing w:line="578" w:lineRule="exact"/>
        <w:ind w:firstLine="640" w:firstLineChars="200"/>
        <w:contextualSpacing/>
        <w:jc w:val="left"/>
        <w:rPr>
          <w:lang w:val="zh-CN"/>
        </w:rPr>
      </w:pPr>
      <w:r>
        <w:rPr>
          <w:rFonts w:hint="eastAsia" w:eastAsia="仿宋_GB2312" w:cs="仿宋_GB2312"/>
          <w:sz w:val="32"/>
          <w:szCs w:val="32"/>
          <w:lang w:val="zh-CN"/>
        </w:rPr>
        <w:t>（5）2025年神经医学中心成功入选国家中医优势专科增补培育单位；眼科入选第二批“四川省临床重点专科联盟单位（中医类）”。</w:t>
      </w:r>
    </w:p>
    <w:p w14:paraId="0C99355E">
      <w:pPr>
        <w:numPr>
          <w:ilvl w:val="0"/>
          <w:numId w:val="1"/>
        </w:numPr>
        <w:adjustRightInd w:val="0"/>
        <w:snapToGrid w:val="0"/>
        <w:spacing w:line="578" w:lineRule="exact"/>
        <w:ind w:left="0" w:leftChars="0" w:firstLine="640" w:firstLineChars="0"/>
        <w:contextualSpacing/>
        <w:jc w:val="left"/>
        <w:rPr>
          <w:rFonts w:hint="eastAsia" w:eastAsia="仿宋_GB2312" w:cs="仿宋_GB2312"/>
          <w:sz w:val="32"/>
          <w:szCs w:val="32"/>
          <w:lang w:val="zh-CN"/>
        </w:rPr>
      </w:pPr>
      <w:r>
        <w:rPr>
          <w:rFonts w:eastAsia="仿宋_GB2312" w:cs="仿宋_GB2312"/>
          <w:sz w:val="32"/>
          <w:szCs w:val="32"/>
          <w:lang w:val="zh-CN"/>
        </w:rPr>
        <w:t>预算管理</w:t>
      </w:r>
      <w:r>
        <w:rPr>
          <w:rFonts w:hint="eastAsia" w:eastAsia="仿宋_GB2312" w:cs="仿宋_GB2312"/>
          <w:sz w:val="32"/>
          <w:szCs w:val="32"/>
          <w:lang w:val="zh-CN"/>
        </w:rPr>
        <w:t>。</w:t>
      </w:r>
    </w:p>
    <w:p w14:paraId="77BE5BF2">
      <w:pPr>
        <w:numPr>
          <w:ilvl w:val="0"/>
          <w:numId w:val="0"/>
        </w:num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1）预算编制按照财政要求及部门预算编制说明要求，我院在编制2025年部门预算时即制定了整体绩效目标表，并在部门预算公开表中与其他表格一并进行了公示，较规范和科学地制定了年度整体绩效目标，绩效指标设置完整。</w:t>
      </w:r>
    </w:p>
    <w:p w14:paraId="0BF1CF68">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（2）2025年</w:t>
      </w:r>
      <w:r>
        <w:rPr>
          <w:rFonts w:hint="eastAsia" w:eastAsia="仿宋_GB2312" w:cs="仿宋_GB2312"/>
          <w:sz w:val="32"/>
          <w:szCs w:val="32"/>
          <w:lang w:val="zh-CN"/>
        </w:rPr>
        <w:tab/>
      </w:r>
      <w:r>
        <w:rPr>
          <w:rFonts w:hint="eastAsia" w:eastAsia="仿宋_GB2312" w:cs="仿宋_GB2312"/>
          <w:sz w:val="32"/>
          <w:szCs w:val="32"/>
          <w:lang w:val="zh-CN"/>
        </w:rPr>
        <w:t>单位收入统筹度为100%，我院所有收入均纳入统一账户管理，无分散留存，资金分配和使用由医院集中决策。</w:t>
      </w:r>
    </w:p>
    <w:p w14:paraId="3980285C">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（3）2025年预算年终结余率为0%，我院建立了完善的预算执行机制，支出进度及时有序，资金效益充分发挥。</w:t>
      </w:r>
    </w:p>
    <w:p w14:paraId="3F1762DC">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lang w:val="zh-CN"/>
        </w:rPr>
        <w:t>（4）2025年一般性支出金额2271.24万元，占预算总支出的2.</w:t>
      </w:r>
      <w:r>
        <w:rPr>
          <w:rFonts w:hint="eastAsia" w:eastAsia="仿宋_GB2312" w:cs="仿宋_GB2312"/>
          <w:sz w:val="32"/>
          <w:szCs w:val="32"/>
          <w:lang w:val="en-US" w:eastAsia="zh-CN"/>
        </w:rPr>
        <w:t>5</w:t>
      </w:r>
      <w:r>
        <w:rPr>
          <w:rFonts w:hint="eastAsia" w:eastAsia="仿宋_GB2312" w:cs="仿宋_GB2312"/>
          <w:sz w:val="32"/>
          <w:szCs w:val="32"/>
          <w:lang w:val="zh-CN"/>
        </w:rPr>
        <w:t>%，较好地控制了成本支出。</w:t>
      </w:r>
    </w:p>
    <w:p w14:paraId="2886B504">
      <w:pPr>
        <w:numPr>
          <w:ilvl w:val="0"/>
          <w:numId w:val="1"/>
        </w:numPr>
        <w:adjustRightInd w:val="0"/>
        <w:snapToGrid w:val="0"/>
        <w:spacing w:line="578" w:lineRule="exact"/>
        <w:ind w:left="0" w:leftChars="0" w:firstLine="640" w:firstLineChars="0"/>
        <w:contextualSpacing/>
        <w:jc w:val="left"/>
        <w:rPr>
          <w:rFonts w:hint="eastAsia" w:eastAsia="仿宋_GB2312" w:cs="仿宋_GB2312"/>
          <w:sz w:val="32"/>
          <w:szCs w:val="32"/>
          <w:lang w:val="zh-CN"/>
        </w:rPr>
      </w:pPr>
      <w:r>
        <w:rPr>
          <w:rFonts w:eastAsia="仿宋_GB2312" w:cs="仿宋_GB2312"/>
          <w:sz w:val="32"/>
          <w:szCs w:val="32"/>
          <w:lang w:val="zh-CN"/>
        </w:rPr>
        <w:t>财务管理</w:t>
      </w:r>
      <w:r>
        <w:rPr>
          <w:rFonts w:hint="eastAsia" w:eastAsia="仿宋_GB2312" w:cs="仿宋_GB2312"/>
          <w:sz w:val="32"/>
          <w:szCs w:val="32"/>
          <w:lang w:val="zh-CN"/>
        </w:rPr>
        <w:t>。</w:t>
      </w:r>
    </w:p>
    <w:p w14:paraId="25FA8A87">
      <w:pPr>
        <w:numPr>
          <w:ilvl w:val="0"/>
          <w:numId w:val="0"/>
        </w:num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lang w:val="zh-CN"/>
        </w:rPr>
        <w:t>2025年我院对部门资金严格管理，成立领导小组，制定了管理制度和使用流程，财政资金专人专账管理，严格按照资金使用范围，加强使用部门和科室对部门资金绩效管理的学习和认识，资金执行进度、各项绩效指标均达到了预期目标，年度预算的整体目标基本实现。</w:t>
      </w:r>
    </w:p>
    <w:p w14:paraId="06E0CA5D">
      <w:pPr>
        <w:numPr>
          <w:ilvl w:val="0"/>
          <w:numId w:val="1"/>
        </w:numPr>
        <w:adjustRightInd w:val="0"/>
        <w:snapToGrid w:val="0"/>
        <w:spacing w:line="578" w:lineRule="exact"/>
        <w:ind w:left="0" w:leftChars="0" w:firstLine="640" w:firstLineChars="0"/>
        <w:contextualSpacing/>
        <w:jc w:val="left"/>
        <w:rPr>
          <w:rFonts w:hint="eastAsia" w:eastAsia="仿宋_GB2312" w:cs="仿宋_GB2312"/>
          <w:sz w:val="32"/>
          <w:szCs w:val="32"/>
          <w:lang w:val="zh-CN"/>
        </w:rPr>
      </w:pPr>
      <w:r>
        <w:rPr>
          <w:rFonts w:eastAsia="仿宋_GB2312" w:cs="仿宋_GB2312"/>
          <w:sz w:val="32"/>
          <w:szCs w:val="32"/>
          <w:lang w:val="zh-CN"/>
        </w:rPr>
        <w:t>资产管理</w:t>
      </w:r>
      <w:r>
        <w:rPr>
          <w:rFonts w:hint="eastAsia" w:eastAsia="仿宋_GB2312" w:cs="仿宋_GB2312"/>
          <w:sz w:val="32"/>
          <w:szCs w:val="32"/>
          <w:lang w:val="zh-CN"/>
        </w:rPr>
        <w:t>。</w:t>
      </w:r>
    </w:p>
    <w:p w14:paraId="19B45D26">
      <w:pPr>
        <w:numPr>
          <w:ilvl w:val="0"/>
          <w:numId w:val="0"/>
        </w:num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lang w:val="zh-CN"/>
        </w:rPr>
        <w:t>2025年资产配置预算偏离度5%，为科室需求预测偏差，紧急采购未预留预算。资产利用率为90%，医疗资源充分利用，减少浪费，对医院的资产进行全生命周期的跟踪管理，确保资产的使用价值最大化。</w:t>
      </w:r>
    </w:p>
    <w:p w14:paraId="3A8C7FDA">
      <w:pPr>
        <w:numPr>
          <w:ilvl w:val="0"/>
          <w:numId w:val="1"/>
        </w:numPr>
        <w:adjustRightInd w:val="0"/>
        <w:snapToGrid w:val="0"/>
        <w:spacing w:line="578" w:lineRule="exact"/>
        <w:ind w:left="0" w:leftChars="0" w:firstLine="640" w:firstLineChars="0"/>
        <w:contextualSpacing/>
        <w:jc w:val="left"/>
        <w:rPr>
          <w:rFonts w:hint="eastAsia" w:eastAsia="仿宋_GB2312" w:cs="仿宋_GB2312"/>
          <w:sz w:val="32"/>
          <w:szCs w:val="32"/>
          <w:lang w:val="zh-CN"/>
        </w:rPr>
      </w:pPr>
      <w:r>
        <w:rPr>
          <w:rFonts w:eastAsia="仿宋_GB2312" w:cs="仿宋_GB2312"/>
          <w:sz w:val="32"/>
          <w:szCs w:val="32"/>
          <w:lang w:val="zh-CN"/>
        </w:rPr>
        <w:t>采购管理</w:t>
      </w:r>
      <w:r>
        <w:rPr>
          <w:rFonts w:hint="eastAsia" w:eastAsia="仿宋_GB2312" w:cs="仿宋_GB2312"/>
          <w:sz w:val="32"/>
          <w:szCs w:val="32"/>
          <w:lang w:val="zh-CN"/>
        </w:rPr>
        <w:t>。</w:t>
      </w:r>
    </w:p>
    <w:p w14:paraId="6372A5CD">
      <w:pPr>
        <w:numPr>
          <w:ilvl w:val="0"/>
          <w:numId w:val="0"/>
        </w:num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2025年采购执行率90%，基本完成采购计划，资金使用效率较高，保障了医院日常运营需要。同时按照政府采购预算，优化采购流程。</w:t>
      </w:r>
    </w:p>
    <w:p w14:paraId="7060A13F">
      <w:pPr>
        <w:adjustRightInd w:val="0"/>
        <w:snapToGrid w:val="0"/>
        <w:spacing w:line="578" w:lineRule="exact"/>
        <w:ind w:firstLine="643" w:firstLineChars="200"/>
        <w:contextualSpacing/>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p>
    <w:p w14:paraId="16534EAA">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lang w:val="zh-CN"/>
        </w:rPr>
        <w:t xml:space="preserve">常年项目绩效分析。该类项目总数 </w:t>
      </w:r>
      <w:r>
        <w:rPr>
          <w:rFonts w:hint="eastAsia" w:eastAsia="仿宋_GB2312" w:cs="仿宋_GB2312"/>
          <w:sz w:val="32"/>
          <w:szCs w:val="32"/>
          <w:lang w:val="zh-CN"/>
        </w:rPr>
        <w:t>0</w:t>
      </w:r>
      <w:r>
        <w:rPr>
          <w:rFonts w:eastAsia="仿宋_GB2312" w:cs="仿宋_GB2312"/>
          <w:sz w:val="32"/>
          <w:szCs w:val="32"/>
          <w:lang w:val="zh-CN"/>
        </w:rPr>
        <w:t>个，涉及预算总金额</w:t>
      </w:r>
      <w:r>
        <w:rPr>
          <w:rFonts w:hint="eastAsia" w:eastAsia="仿宋_GB2312" w:cs="仿宋_GB2312"/>
          <w:sz w:val="32"/>
          <w:szCs w:val="32"/>
          <w:lang w:val="zh-CN"/>
        </w:rPr>
        <w:t>0</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 xml:space="preserve">12月预算执行总体进度为 </w:t>
      </w:r>
      <w:r>
        <w:rPr>
          <w:rFonts w:hint="eastAsia" w:eastAsia="仿宋_GB2312" w:cs="仿宋_GB2312"/>
          <w:sz w:val="32"/>
          <w:szCs w:val="32"/>
          <w:lang w:val="zh-CN"/>
        </w:rPr>
        <w:t>0</w:t>
      </w:r>
      <w:r>
        <w:rPr>
          <w:rFonts w:eastAsia="仿宋_GB2312" w:cs="仿宋_GB2312"/>
          <w:sz w:val="32"/>
          <w:szCs w:val="32"/>
          <w:lang w:val="zh-CN"/>
        </w:rPr>
        <w:t xml:space="preserve"> %，其中：预算结余率大于10%的项目共计 </w:t>
      </w:r>
      <w:r>
        <w:rPr>
          <w:rFonts w:hint="eastAsia" w:eastAsia="仿宋_GB2312" w:cs="仿宋_GB2312"/>
          <w:sz w:val="32"/>
          <w:szCs w:val="32"/>
          <w:lang w:val="zh-CN"/>
        </w:rPr>
        <w:t>0</w:t>
      </w:r>
      <w:r>
        <w:rPr>
          <w:rFonts w:eastAsia="仿宋_GB2312" w:cs="仿宋_GB2312"/>
          <w:sz w:val="32"/>
          <w:szCs w:val="32"/>
          <w:lang w:val="zh-CN"/>
        </w:rPr>
        <w:t>个。</w:t>
      </w:r>
    </w:p>
    <w:p w14:paraId="61140DE4">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lang w:val="zh-CN"/>
        </w:rPr>
        <w:t>阶段（</w:t>
      </w:r>
      <w:r>
        <w:rPr>
          <w:rFonts w:hint="eastAsia" w:eastAsia="仿宋_GB2312" w:cs="仿宋_GB2312"/>
          <w:sz w:val="32"/>
          <w:szCs w:val="32"/>
          <w:lang w:val="zh-CN"/>
        </w:rPr>
        <w:t>含</w:t>
      </w:r>
      <w:r>
        <w:rPr>
          <w:rFonts w:eastAsia="仿宋_GB2312" w:cs="仿宋_GB2312"/>
          <w:sz w:val="32"/>
          <w:szCs w:val="32"/>
          <w:lang w:val="zh-CN"/>
        </w:rPr>
        <w:t>一次性）项目绩效分析。该类项目总数</w:t>
      </w:r>
      <w:r>
        <w:rPr>
          <w:rFonts w:hint="eastAsia" w:eastAsia="仿宋_GB2312" w:cs="仿宋_GB2312"/>
          <w:sz w:val="32"/>
          <w:szCs w:val="32"/>
          <w:lang w:val="zh-CN"/>
        </w:rPr>
        <w:t>26</w:t>
      </w:r>
      <w:r>
        <w:rPr>
          <w:rFonts w:eastAsia="仿宋_GB2312" w:cs="仿宋_GB2312"/>
          <w:sz w:val="32"/>
          <w:szCs w:val="32"/>
          <w:lang w:val="zh-CN"/>
        </w:rPr>
        <w:t xml:space="preserve">个，涉及预算总金额 </w:t>
      </w:r>
      <w:r>
        <w:rPr>
          <w:rFonts w:hint="eastAsia" w:eastAsia="仿宋_GB2312" w:cs="仿宋_GB2312"/>
          <w:sz w:val="32"/>
          <w:szCs w:val="32"/>
          <w:lang w:val="zh-CN"/>
        </w:rPr>
        <w:t>1268.66</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12月预算执行总体进度</w:t>
      </w:r>
      <w:r>
        <w:rPr>
          <w:rFonts w:hint="eastAsia" w:eastAsia="仿宋_GB2312" w:cs="仿宋_GB2312"/>
          <w:sz w:val="32"/>
          <w:szCs w:val="32"/>
          <w:lang w:val="zh-CN"/>
        </w:rPr>
        <w:t>100</w:t>
      </w:r>
      <w:r>
        <w:rPr>
          <w:rFonts w:eastAsia="仿宋_GB2312" w:cs="仿宋_GB2312"/>
          <w:sz w:val="32"/>
          <w:szCs w:val="32"/>
          <w:lang w:val="zh-CN"/>
        </w:rPr>
        <w:t xml:space="preserve"> %，其中：预算结余率大于10%的项目共计 </w:t>
      </w:r>
      <w:r>
        <w:rPr>
          <w:rFonts w:hint="eastAsia" w:eastAsia="仿宋_GB2312" w:cs="仿宋_GB2312"/>
          <w:sz w:val="32"/>
          <w:szCs w:val="32"/>
          <w:lang w:val="zh-CN"/>
        </w:rPr>
        <w:t>0</w:t>
      </w:r>
      <w:r>
        <w:rPr>
          <w:rFonts w:eastAsia="仿宋_GB2312" w:cs="仿宋_GB2312"/>
          <w:sz w:val="32"/>
          <w:szCs w:val="32"/>
          <w:lang w:val="zh-CN"/>
        </w:rPr>
        <w:t>个。</w:t>
      </w:r>
    </w:p>
    <w:p w14:paraId="2BC099A6">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lang w:val="zh-CN"/>
        </w:rPr>
        <w:t>1.项目决策。</w:t>
      </w:r>
      <w:r>
        <w:rPr>
          <w:rFonts w:hint="eastAsia" w:eastAsia="仿宋_GB2312" w:cs="仿宋_GB2312"/>
          <w:sz w:val="32"/>
          <w:szCs w:val="32"/>
          <w:lang w:val="zh-CN"/>
        </w:rPr>
        <w:t>制定了整体绩效目标表并在部门预算公开表中与其他表格一并进行了公示，较规范和科学地制定了年度整体绩效目标，绩效指标设置完整。</w:t>
      </w:r>
    </w:p>
    <w:p w14:paraId="23012497">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lang w:val="zh-CN"/>
        </w:rPr>
        <w:t>2.项目执行。</w:t>
      </w:r>
      <w:r>
        <w:rPr>
          <w:rFonts w:hint="eastAsia" w:eastAsia="仿宋_GB2312" w:cs="仿宋_GB2312"/>
          <w:sz w:val="32"/>
          <w:szCs w:val="32"/>
          <w:lang w:val="zh-CN"/>
        </w:rPr>
        <w:t>对部门资金的使用制定了严格的管理制度，支出由使用部门、财务部门和分管院领导分级审批并在审批表上签字，对财政绩效工作高度重视，由分管院领导多次组织开会，成立由经管科牵头的绩效评价机构，组织资金使用部门学习文件精神，认真开展绩效评价工作。</w:t>
      </w:r>
    </w:p>
    <w:p w14:paraId="0AF3E1BC">
      <w:pPr>
        <w:adjustRightInd w:val="0"/>
        <w:snapToGrid w:val="0"/>
        <w:spacing w:line="578" w:lineRule="exact"/>
        <w:ind w:firstLine="640" w:firstLineChars="200"/>
        <w:contextualSpacing/>
        <w:rPr>
          <w:rFonts w:eastAsia="仿宋_GB2312" w:cs="仿宋_GB2312"/>
          <w:sz w:val="32"/>
          <w:szCs w:val="32"/>
        </w:rPr>
      </w:pPr>
      <w:r>
        <w:rPr>
          <w:rFonts w:eastAsia="仿宋_GB2312" w:cs="仿宋_GB2312"/>
          <w:sz w:val="32"/>
          <w:szCs w:val="32"/>
          <w:lang w:val="zh-CN"/>
        </w:rPr>
        <w:t>3.目标实现。</w:t>
      </w:r>
      <w:r>
        <w:rPr>
          <w:rFonts w:hint="eastAsia" w:eastAsia="仿宋_GB2312" w:cs="仿宋_GB2312"/>
          <w:sz w:val="32"/>
          <w:szCs w:val="32"/>
          <w:lang w:val="zh-CN"/>
        </w:rPr>
        <w:t>数据准确，及时上报，内容完整，比较客观和全面地对医院整体支出进行了评价。成立自评工作小组，对项目具体实施情况与项目预算绩效进行对比，对数量指标、质量指标、成本指标、时效指标、效益指标及满意度指标等进行核实，形成自评报告，自评报告质量较高。</w:t>
      </w:r>
    </w:p>
    <w:p w14:paraId="0AA55C4C">
      <w:pPr>
        <w:snapToGrid w:val="0"/>
        <w:spacing w:line="600" w:lineRule="exact"/>
        <w:ind w:firstLine="643" w:firstLineChars="200"/>
        <w:rPr>
          <w:rFonts w:eastAsia="仿宋_GB2312" w:cs="仿宋_GB2312"/>
          <w:sz w:val="32"/>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r>
        <w:rPr>
          <w:rFonts w:hint="eastAsia" w:eastAsia="仿宋_GB2312" w:cs="仿宋_GB2312"/>
          <w:sz w:val="32"/>
          <w:szCs w:val="32"/>
          <w:lang w:val="zh-CN"/>
        </w:rPr>
        <w:t>自评结果将应用于科室考核，按绩效评价结果进行奖惩；将自评中发现的问题在以后的预算编制和执行中改进；对自评结果进行公开公示。</w:t>
      </w:r>
    </w:p>
    <w:p w14:paraId="3F2372C8">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14:paraId="2EA67ADA">
      <w:pPr>
        <w:widowControl/>
        <w:adjustRightInd w:val="0"/>
        <w:snapToGrid w:val="0"/>
        <w:spacing w:line="578" w:lineRule="exact"/>
        <w:ind w:firstLine="643" w:firstLineChars="200"/>
        <w:contextualSpacing/>
        <w:jc w:val="left"/>
        <w:rPr>
          <w:rFonts w:eastAsia="仿宋_GB2312"/>
          <w:sz w:val="32"/>
          <w:szCs w:val="32"/>
          <w:lang w:bidi="ar"/>
        </w:rPr>
      </w:pPr>
      <w:r>
        <w:rPr>
          <w:rFonts w:eastAsia="楷体_GB2312"/>
          <w:b/>
          <w:bCs/>
          <w:color w:val="000000"/>
          <w:kern w:val="0"/>
          <w:sz w:val="32"/>
          <w:szCs w:val="32"/>
          <w:shd w:val="clear" w:color="auto" w:fill="FFFFFF"/>
          <w:lang w:val="zh-CN"/>
        </w:rPr>
        <w:t>（一）评价结论。</w:t>
      </w:r>
      <w:r>
        <w:rPr>
          <w:rFonts w:hint="eastAsia" w:eastAsia="仿宋_GB2312"/>
          <w:sz w:val="32"/>
          <w:szCs w:val="32"/>
          <w:lang w:val="zh-CN" w:bidi="ar"/>
        </w:rPr>
        <w:t>按照预算绩效管理要求，本部门对2025年整体支出开展绩效自评，自评得分97分，部门预算资金执行进度，各项绩效指标均达到了预期目标，达到了年度预算的整体目标。</w:t>
      </w:r>
    </w:p>
    <w:p w14:paraId="734E9F4C">
      <w:pPr>
        <w:widowControl/>
        <w:adjustRightInd w:val="0"/>
        <w:snapToGrid w:val="0"/>
        <w:spacing w:line="578" w:lineRule="exact"/>
        <w:ind w:firstLine="643" w:firstLineChars="200"/>
        <w:contextualSpacing/>
        <w:jc w:val="left"/>
        <w:rPr>
          <w:rFonts w:hint="eastAsia" w:eastAsia="仿宋_GB2312"/>
          <w:sz w:val="32"/>
          <w:szCs w:val="32"/>
          <w:lang w:bidi="ar"/>
        </w:rPr>
      </w:pPr>
      <w:r>
        <w:rPr>
          <w:rFonts w:eastAsia="楷体_GB2312"/>
          <w:b/>
          <w:bCs/>
          <w:color w:val="000000"/>
          <w:kern w:val="0"/>
          <w:sz w:val="32"/>
          <w:szCs w:val="32"/>
          <w:shd w:val="clear" w:color="auto" w:fill="FFFFFF"/>
          <w:lang w:val="zh-CN"/>
        </w:rPr>
        <w:t>（二）存在问题</w:t>
      </w:r>
      <w:r>
        <w:rPr>
          <w:rFonts w:hint="eastAsia" w:eastAsia="楷体_GB2312"/>
          <w:b/>
          <w:bCs/>
          <w:color w:val="000000"/>
          <w:kern w:val="0"/>
          <w:sz w:val="32"/>
          <w:szCs w:val="32"/>
          <w:shd w:val="clear" w:color="auto" w:fill="FFFFFF"/>
          <w:lang w:val="zh-CN"/>
        </w:rPr>
        <w:t>：一</w:t>
      </w:r>
      <w:r>
        <w:rPr>
          <w:rFonts w:hint="eastAsia" w:eastAsia="仿宋_GB2312"/>
          <w:sz w:val="32"/>
          <w:szCs w:val="32"/>
          <w:lang w:val="zh-CN" w:bidi="ar"/>
        </w:rPr>
        <w:t>是业务部门和使用科室缺乏部门资金绩效管理意识，对绩效管理工作认识不足，缺乏理解和重视，执行力度有待加强。二是有的项目资金，使用部门专业性强，如临床科研、医疗服务类项目，绩效管理部门因不熟悉医学知识在评价时难度较大。三是年初绩效目标设定与年度计划安排未完全对应，造成目标完成质量有待提高。</w:t>
      </w:r>
    </w:p>
    <w:p w14:paraId="5B96E809">
      <w:pPr>
        <w:widowControl/>
        <w:adjustRightInd w:val="0"/>
        <w:snapToGrid w:val="0"/>
        <w:spacing w:line="578" w:lineRule="exact"/>
        <w:ind w:firstLine="643" w:firstLineChars="200"/>
        <w:contextualSpacing/>
        <w:jc w:val="left"/>
        <w:rPr>
          <w:rFonts w:hint="eastAsia" w:eastAsia="仿宋_GB2312"/>
          <w:sz w:val="32"/>
          <w:szCs w:val="32"/>
          <w:lang w:val="en" w:bidi="ar"/>
        </w:rPr>
      </w:pPr>
      <w:r>
        <w:rPr>
          <w:rFonts w:eastAsia="楷体_GB2312"/>
          <w:b/>
          <w:bCs/>
          <w:color w:val="000000"/>
          <w:kern w:val="0"/>
          <w:sz w:val="32"/>
          <w:szCs w:val="32"/>
          <w:shd w:val="clear" w:color="auto" w:fill="FFFFFF"/>
          <w:lang w:val="zh-CN"/>
        </w:rPr>
        <w:t>（三）改进建议。</w:t>
      </w:r>
      <w:bookmarkStart w:id="157" w:name="_Hlk110546638"/>
      <w:r>
        <w:rPr>
          <w:rFonts w:hint="eastAsia" w:eastAsia="仿宋_GB2312"/>
          <w:sz w:val="32"/>
          <w:szCs w:val="32"/>
          <w:lang w:val="zh-CN" w:bidi="ar"/>
        </w:rPr>
        <w:t>一是科学设定目标及指标，强化事前准备工作，完善指标体系建设。二是建立完善医院内部管理制度，加强方法创新，提升管理能力。三是完善支付手续和流程，保证资金及时支付，提高资金执行率。</w:t>
      </w:r>
    </w:p>
    <w:p w14:paraId="10F73254">
      <w:pPr>
        <w:widowControl/>
        <w:adjustRightInd w:val="0"/>
        <w:snapToGrid w:val="0"/>
        <w:spacing w:line="578" w:lineRule="exact"/>
        <w:ind w:firstLine="640" w:firstLineChars="200"/>
        <w:contextualSpacing/>
        <w:jc w:val="left"/>
        <w:rPr>
          <w:rFonts w:eastAsia="仿宋_GB2312"/>
          <w:sz w:val="32"/>
          <w:szCs w:val="32"/>
          <w:lang w:val="en" w:bidi="ar"/>
        </w:rPr>
      </w:pPr>
    </w:p>
    <w:bookmarkEnd w:id="157"/>
    <w:p w14:paraId="074111A4">
      <w:pPr>
        <w:pStyle w:val="8"/>
        <w:spacing w:line="560" w:lineRule="exact"/>
        <w:ind w:left="0" w:leftChars="0" w:firstLine="640"/>
        <w:rPr>
          <w:rFonts w:ascii="Times New Roman" w:eastAsia="仿宋_GB2312"/>
          <w:sz w:val="32"/>
          <w:lang w:val="zh-CN" w:bidi="ar"/>
        </w:rPr>
      </w:pPr>
    </w:p>
    <w:p w14:paraId="32FBBC28">
      <w:pPr>
        <w:pStyle w:val="8"/>
        <w:spacing w:line="560" w:lineRule="exact"/>
        <w:ind w:left="0" w:leftChars="0" w:firstLine="640"/>
        <w:rPr>
          <w:rFonts w:ascii="Times New Roman" w:eastAsia="仿宋_GB2312"/>
          <w:sz w:val="32"/>
          <w:lang w:val="zh-CN" w:bidi="ar"/>
        </w:rPr>
      </w:pPr>
      <w:r>
        <w:rPr>
          <w:rFonts w:hint="eastAsia" w:ascii="Times New Roman" w:eastAsia="仿宋_GB2312"/>
          <w:sz w:val="32"/>
          <w:lang w:val="zh-CN" w:bidi="ar"/>
        </w:rPr>
        <w:t>附表：</w:t>
      </w:r>
      <w:r>
        <w:rPr>
          <w:rFonts w:hint="eastAsia" w:ascii="Times New Roman" w:eastAsia="仿宋_GB2312"/>
          <w:sz w:val="32"/>
          <w:lang w:bidi="ar"/>
        </w:rPr>
        <w:t>部门预算项目支出绩效自评表（2025年度）</w:t>
      </w:r>
    </w:p>
    <w:p w14:paraId="3A08A94F">
      <w:pPr>
        <w:pStyle w:val="8"/>
        <w:spacing w:line="560" w:lineRule="exact"/>
        <w:ind w:left="0" w:leftChars="0" w:firstLine="0" w:firstLineChars="0"/>
        <w:rPr>
          <w:rFonts w:ascii="Times New Roman"/>
          <w:sz w:val="32"/>
          <w:highlight w:val="yellow"/>
          <w:lang w:val="zh-CN"/>
        </w:rPr>
      </w:pPr>
    </w:p>
    <w:p w14:paraId="6703826E">
      <w:pPr>
        <w:pStyle w:val="6"/>
        <w:spacing w:before="93"/>
        <w:rPr>
          <w:rFonts w:ascii="Times New Roman" w:cs="宋体"/>
          <w:color w:val="FF0000"/>
          <w:sz w:val="32"/>
          <w:szCs w:val="32"/>
          <w:highlight w:val="yellow"/>
          <w:shd w:val="clear" w:color="auto" w:fill="FFFFFF"/>
          <w:lang w:val="zh-CN"/>
        </w:rPr>
      </w:pPr>
    </w:p>
    <w:p w14:paraId="1F83843F">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3FE846FF">
      <w:pPr>
        <w:pStyle w:val="6"/>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7FCE75E6">
      <w:pPr>
        <w:pStyle w:val="36"/>
        <w:spacing w:line="600" w:lineRule="exact"/>
        <w:ind w:firstLine="640"/>
        <w:jc w:val="center"/>
        <w:rPr>
          <w:rFonts w:hint="eastAsia" w:ascii="Times New Roman" w:hAnsi="Times New Roman" w:eastAsia="方正小标宋简体"/>
          <w:color w:val="auto"/>
          <w:kern w:val="2"/>
          <w:sz w:val="40"/>
          <w:szCs w:val="40"/>
        </w:rPr>
      </w:pPr>
      <w:r>
        <w:rPr>
          <w:rFonts w:hint="eastAsia" w:ascii="Times New Roman" w:hAnsi="Times New Roman" w:eastAsia="方正小标宋简体"/>
          <w:color w:val="auto"/>
          <w:kern w:val="2"/>
          <w:sz w:val="40"/>
          <w:szCs w:val="40"/>
          <w:lang w:eastAsia="zh-CN"/>
        </w:rPr>
        <w:t>四川省</w:t>
      </w:r>
      <w:r>
        <w:rPr>
          <w:rFonts w:hint="eastAsia" w:ascii="Times New Roman" w:hAnsi="Times New Roman" w:eastAsia="方正小标宋简体"/>
          <w:color w:val="auto"/>
          <w:kern w:val="2"/>
          <w:sz w:val="40"/>
          <w:szCs w:val="40"/>
        </w:rPr>
        <w:t>攀枝花市中西医结合医院人才专</w:t>
      </w:r>
    </w:p>
    <w:p w14:paraId="126B035C">
      <w:pPr>
        <w:pStyle w:val="36"/>
        <w:spacing w:line="600" w:lineRule="exact"/>
        <w:ind w:firstLine="640"/>
        <w:jc w:val="center"/>
        <w:rPr>
          <w:rFonts w:eastAsia="方正小标宋简体"/>
          <w:sz w:val="40"/>
          <w:szCs w:val="40"/>
          <w:lang w:val="zh-CN"/>
        </w:rPr>
      </w:pPr>
      <w:r>
        <w:rPr>
          <w:rFonts w:hint="eastAsia" w:ascii="Times New Roman" w:hAnsi="Times New Roman" w:eastAsia="方正小标宋简体"/>
          <w:color w:val="auto"/>
          <w:kern w:val="2"/>
          <w:sz w:val="40"/>
          <w:szCs w:val="40"/>
        </w:rPr>
        <w:t>项经费</w:t>
      </w:r>
      <w:r>
        <w:rPr>
          <w:rFonts w:eastAsia="方正小标宋简体"/>
          <w:sz w:val="40"/>
          <w:szCs w:val="40"/>
          <w:lang w:val="zh-CN"/>
        </w:rPr>
        <w:t>专项预算项目支出绩效自评报告</w:t>
      </w:r>
    </w:p>
    <w:p w14:paraId="510E8A38">
      <w:pPr>
        <w:spacing w:line="600" w:lineRule="exact"/>
        <w:ind w:firstLine="640"/>
        <w:jc w:val="center"/>
        <w:rPr>
          <w:sz w:val="32"/>
          <w:szCs w:val="32"/>
          <w:lang w:val="zh-CN"/>
        </w:rPr>
      </w:pPr>
    </w:p>
    <w:p w14:paraId="340A76F0">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14:paraId="47885571">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14:paraId="1A524E2D">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根据《中共攀枝花市委办公室 攀枝花市人民政府办公室印发〈关于实施“人才兴攀”战略加快建设川西南滇西北人才创新发展聚集地的意见〉的通知》（攀委办发〔2022〕1 号）及其配套措施、《中共攀枝花市委人才工作领导小组办公室等 4 部门关于明确〈关于实施“人才兴攀”战略加快建设川西南滇西北区域人才创新发展聚集地的意见〉有关事项的通知》（攀委人才办〔2022〕7 号）有关规定以及攀财资社〔2025〕60号文件。</w:t>
      </w:r>
    </w:p>
    <w:p w14:paraId="06FCF646">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14:paraId="1B8143F1">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1. 项目主要内容。</w:t>
      </w:r>
    </w:p>
    <w:p w14:paraId="36CCF3C9">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2025年人才专项资金72万元，专项用于发放12名引进卫生人才的安家补助。</w:t>
      </w:r>
    </w:p>
    <w:p w14:paraId="00F40391">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项目应实现的具体绩效目标，包括目标的量化、细化情况以及项目实施进度计划等。</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4"/>
        <w:gridCol w:w="3295"/>
        <w:gridCol w:w="2843"/>
      </w:tblGrid>
      <w:tr w14:paraId="1000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4" w:type="dxa"/>
          </w:tcPr>
          <w:p w14:paraId="7F1FDE19">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指标类别</w:t>
            </w:r>
          </w:p>
        </w:tc>
        <w:tc>
          <w:tcPr>
            <w:tcW w:w="3311" w:type="dxa"/>
          </w:tcPr>
          <w:p w14:paraId="3CB95DCB">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具体指标</w:t>
            </w:r>
          </w:p>
        </w:tc>
        <w:tc>
          <w:tcPr>
            <w:tcW w:w="2853" w:type="dxa"/>
          </w:tcPr>
          <w:p w14:paraId="63DFA9CA">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目标值</w:t>
            </w:r>
          </w:p>
        </w:tc>
      </w:tr>
      <w:tr w14:paraId="2F57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4" w:type="dxa"/>
          </w:tcPr>
          <w:p w14:paraId="06684117">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数量指标</w:t>
            </w:r>
          </w:p>
        </w:tc>
        <w:tc>
          <w:tcPr>
            <w:tcW w:w="3311" w:type="dxa"/>
          </w:tcPr>
          <w:p w14:paraId="57A39FB5">
            <w:pPr>
              <w:adjustRightInd w:val="0"/>
              <w:snapToGrid w:val="0"/>
              <w:spacing w:line="600" w:lineRule="exact"/>
              <w:rPr>
                <w:rFonts w:hint="eastAsia" w:eastAsia="仿宋_GB2312"/>
                <w:sz w:val="24"/>
                <w:szCs w:val="24"/>
                <w:lang w:val="zh-CN"/>
              </w:rPr>
            </w:pPr>
            <w:r>
              <w:rPr>
                <w:rFonts w:hint="eastAsia" w:eastAsia="仿宋_GB2312"/>
                <w:sz w:val="24"/>
                <w:szCs w:val="24"/>
                <w:lang w:val="zh-CN"/>
              </w:rPr>
              <w:t>引进卫生人才人数</w:t>
            </w:r>
          </w:p>
        </w:tc>
        <w:tc>
          <w:tcPr>
            <w:tcW w:w="2853" w:type="dxa"/>
          </w:tcPr>
          <w:p w14:paraId="0A47A1F7">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12人</w:t>
            </w:r>
          </w:p>
        </w:tc>
      </w:tr>
      <w:tr w14:paraId="043A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4" w:type="dxa"/>
          </w:tcPr>
          <w:p w14:paraId="27016866">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质量指标</w:t>
            </w:r>
          </w:p>
        </w:tc>
        <w:tc>
          <w:tcPr>
            <w:tcW w:w="3311" w:type="dxa"/>
          </w:tcPr>
          <w:p w14:paraId="02B3A853">
            <w:pPr>
              <w:adjustRightInd w:val="0"/>
              <w:snapToGrid w:val="0"/>
              <w:spacing w:line="600" w:lineRule="exact"/>
              <w:rPr>
                <w:rFonts w:hint="eastAsia" w:eastAsia="仿宋_GB2312"/>
                <w:sz w:val="24"/>
                <w:szCs w:val="24"/>
                <w:lang w:val="zh-CN"/>
              </w:rPr>
            </w:pPr>
            <w:r>
              <w:rPr>
                <w:rFonts w:hint="eastAsia" w:eastAsia="仿宋_GB2312"/>
                <w:sz w:val="24"/>
                <w:szCs w:val="24"/>
                <w:lang w:val="zh-CN"/>
              </w:rPr>
              <w:t>人才资格认定准确率</w:t>
            </w:r>
          </w:p>
        </w:tc>
        <w:tc>
          <w:tcPr>
            <w:tcW w:w="2853" w:type="dxa"/>
          </w:tcPr>
          <w:p w14:paraId="1028639D">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100%</w:t>
            </w:r>
          </w:p>
        </w:tc>
      </w:tr>
      <w:tr w14:paraId="5774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4" w:type="dxa"/>
          </w:tcPr>
          <w:p w14:paraId="66A6F0B1">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成本指标</w:t>
            </w:r>
          </w:p>
        </w:tc>
        <w:tc>
          <w:tcPr>
            <w:tcW w:w="3311" w:type="dxa"/>
          </w:tcPr>
          <w:p w14:paraId="5F2CF2D0">
            <w:pPr>
              <w:adjustRightInd w:val="0"/>
              <w:snapToGrid w:val="0"/>
              <w:spacing w:line="600" w:lineRule="exact"/>
              <w:rPr>
                <w:rFonts w:hint="eastAsia" w:eastAsia="仿宋_GB2312"/>
                <w:sz w:val="24"/>
                <w:szCs w:val="24"/>
                <w:lang w:val="zh-CN"/>
              </w:rPr>
            </w:pPr>
            <w:r>
              <w:rPr>
                <w:rFonts w:hint="eastAsia" w:eastAsia="仿宋_GB2312"/>
                <w:sz w:val="24"/>
                <w:szCs w:val="24"/>
                <w:lang w:val="zh-CN"/>
              </w:rPr>
              <w:t>人均安家补助标准</w:t>
            </w:r>
          </w:p>
        </w:tc>
        <w:tc>
          <w:tcPr>
            <w:tcW w:w="2853" w:type="dxa"/>
          </w:tcPr>
          <w:p w14:paraId="7C7BE655">
            <w:pPr>
              <w:adjustRightInd w:val="0"/>
              <w:snapToGrid w:val="0"/>
              <w:spacing w:line="600" w:lineRule="exact"/>
              <w:rPr>
                <w:rFonts w:hint="eastAsia" w:eastAsia="仿宋_GB2312"/>
                <w:sz w:val="24"/>
                <w:szCs w:val="24"/>
                <w:lang w:val="zh-CN"/>
              </w:rPr>
            </w:pPr>
            <w:r>
              <w:rPr>
                <w:rFonts w:hint="eastAsia" w:eastAsia="仿宋_GB2312"/>
                <w:sz w:val="24"/>
                <w:szCs w:val="24"/>
                <w:lang w:val="zh-CN"/>
              </w:rPr>
              <w:t>按政策标准执行</w:t>
            </w:r>
          </w:p>
        </w:tc>
      </w:tr>
      <w:tr w14:paraId="21E5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4" w:type="dxa"/>
          </w:tcPr>
          <w:p w14:paraId="21D75AFA">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效益指标</w:t>
            </w:r>
          </w:p>
        </w:tc>
        <w:tc>
          <w:tcPr>
            <w:tcW w:w="3311" w:type="dxa"/>
          </w:tcPr>
          <w:p w14:paraId="5C4293E1">
            <w:pPr>
              <w:adjustRightInd w:val="0"/>
              <w:snapToGrid w:val="0"/>
              <w:spacing w:line="600" w:lineRule="exact"/>
              <w:rPr>
                <w:rFonts w:hint="eastAsia" w:eastAsia="仿宋_GB2312"/>
                <w:sz w:val="24"/>
                <w:szCs w:val="24"/>
                <w:lang w:val="zh-CN"/>
              </w:rPr>
            </w:pPr>
            <w:r>
              <w:rPr>
                <w:rFonts w:hint="eastAsia" w:eastAsia="仿宋_GB2312"/>
                <w:sz w:val="24"/>
                <w:szCs w:val="24"/>
                <w:lang w:val="zh-CN"/>
              </w:rPr>
              <w:t>人才引进满意度</w:t>
            </w:r>
          </w:p>
        </w:tc>
        <w:tc>
          <w:tcPr>
            <w:tcW w:w="2853" w:type="dxa"/>
          </w:tcPr>
          <w:p w14:paraId="5CA8F60C">
            <w:pPr>
              <w:adjustRightInd w:val="0"/>
              <w:snapToGrid w:val="0"/>
              <w:spacing w:line="600" w:lineRule="exact"/>
              <w:ind w:firstLine="720"/>
              <w:rPr>
                <w:rFonts w:hint="eastAsia" w:eastAsia="仿宋_GB2312"/>
                <w:sz w:val="24"/>
                <w:szCs w:val="24"/>
                <w:lang w:val="zh-CN"/>
              </w:rPr>
            </w:pPr>
            <w:r>
              <w:rPr>
                <w:rFonts w:hint="eastAsia" w:eastAsia="仿宋_GB2312"/>
                <w:sz w:val="24"/>
                <w:szCs w:val="24"/>
                <w:lang w:val="zh-CN"/>
              </w:rPr>
              <w:t>≥95%</w:t>
            </w:r>
          </w:p>
        </w:tc>
      </w:tr>
    </w:tbl>
    <w:p w14:paraId="6D3441D2">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3. 分析评价申报内容是否与实际相符，申报目标是否合理可行。</w:t>
      </w:r>
    </w:p>
    <w:p w14:paraId="56AC1BE3">
      <w:pPr>
        <w:adjustRightInd w:val="0"/>
        <w:snapToGrid w:val="0"/>
        <w:spacing w:line="600" w:lineRule="exact"/>
        <w:ind w:firstLine="720"/>
        <w:rPr>
          <w:rFonts w:ascii="仿宋_GB2312" w:hAnsi="宋体"/>
          <w:lang w:val="zh-CN"/>
        </w:rPr>
      </w:pPr>
      <w:r>
        <w:rPr>
          <w:rFonts w:hint="eastAsia" w:eastAsia="仿宋_GB2312"/>
          <w:sz w:val="32"/>
          <w:szCs w:val="32"/>
          <w:lang w:val="zh-CN"/>
        </w:rPr>
        <w:t>申报的12名卫生人才均已完成引进程序，与用人单位签订聘用合同，符合政策规定的补助发放条件；补助标准严格按照政策文件执行，目标合理可行。</w:t>
      </w:r>
    </w:p>
    <w:p w14:paraId="22F8004F">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6C66F30D">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1.自评组织实施步骤</w:t>
      </w:r>
    </w:p>
    <w:p w14:paraId="64FF530F">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收集整理项目申报、资金拨付、人才到岗等相关资料；对照绩效目标，核实各项指标的完成情况。</w:t>
      </w:r>
    </w:p>
    <w:p w14:paraId="3588AA82">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2.自评方法</w:t>
      </w:r>
    </w:p>
    <w:p w14:paraId="6F0A017E">
      <w:pPr>
        <w:adjustRightInd w:val="0"/>
        <w:snapToGrid w:val="0"/>
        <w:spacing w:line="600" w:lineRule="exact"/>
        <w:ind w:firstLine="720"/>
        <w:rPr>
          <w:lang w:val="zh-CN"/>
        </w:rPr>
      </w:pPr>
      <w:r>
        <w:rPr>
          <w:rFonts w:hint="eastAsia" w:eastAsia="仿宋_GB2312"/>
          <w:sz w:val="32"/>
          <w:szCs w:val="32"/>
          <w:lang w:val="zh-CN"/>
        </w:rPr>
        <w:t>资料审查法：查阅项目申报书、资金下达文件、拨付凭证、人才聘用合同等。</w:t>
      </w:r>
    </w:p>
    <w:p w14:paraId="580C624E">
      <w:pPr>
        <w:adjustRightInd w:val="0"/>
        <w:snapToGrid w:val="0"/>
        <w:spacing w:line="600" w:lineRule="exact"/>
        <w:ind w:firstLine="720"/>
        <w:rPr>
          <w:rFonts w:eastAsia="黑体"/>
          <w:sz w:val="32"/>
          <w:szCs w:val="32"/>
        </w:rPr>
      </w:pPr>
      <w:r>
        <w:rPr>
          <w:rFonts w:eastAsia="黑体"/>
          <w:sz w:val="32"/>
          <w:szCs w:val="32"/>
        </w:rPr>
        <w:t>二、项目资金申报及使用情况</w:t>
      </w:r>
    </w:p>
    <w:p w14:paraId="280B3DE1">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14:paraId="7BC535CA">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申报情况：根据年度人才引进计划，向市财政局申报2025年人才专项资金72万元，用于12名卫生人才安家补助发放。</w:t>
      </w:r>
    </w:p>
    <w:p w14:paraId="3A6A3EFA">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批复情况：2025年4月，市财政局下达人才专项资金（攀财资社〔2025〕60号），批复人才专项资金72万元，资金用途为发放引进卫生人才安家补助。</w:t>
      </w:r>
    </w:p>
    <w:p w14:paraId="5902E86B">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预算调整情况：本项目在预算执行过程中未发生调整。</w:t>
      </w:r>
    </w:p>
    <w:p w14:paraId="30789F9B">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14:paraId="0FDA87D9">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本项目资金到位率100%，到位及时，为按时发放人才安家补助提供了资金保障。</w:t>
      </w:r>
    </w:p>
    <w:p w14:paraId="50CC3CCA">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支付范围：严格按照政策规定，用于12名引进卫生人才的安家补助，无超范围支出；</w:t>
      </w:r>
    </w:p>
    <w:p w14:paraId="04D80A0F">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支付标准：按照认定的人才类别及对应标准发放，无虚报冒领；</w:t>
      </w:r>
    </w:p>
    <w:p w14:paraId="23EB26F1">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支付进度：根据财政资金拨付情况及时支付，无拖延；</w:t>
      </w:r>
    </w:p>
    <w:p w14:paraId="729B33C7">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支付依据：以人才资格认定文件、聘用合同、身份证复印件等作为发放依据，审批手续完备；</w:t>
      </w:r>
    </w:p>
    <w:p w14:paraId="1608E74D">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资金结余：资金结余0万元。</w:t>
      </w:r>
    </w:p>
    <w:p w14:paraId="1F40E9E4">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14:paraId="2D110CC3">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本项目财务管理制度健全，执行严格，账务处理及时，会计核算规范，未发现违规违纪问题。</w:t>
      </w:r>
    </w:p>
    <w:p w14:paraId="0E010370">
      <w:pPr>
        <w:adjustRightInd w:val="0"/>
        <w:snapToGrid w:val="0"/>
        <w:spacing w:line="600" w:lineRule="exact"/>
        <w:ind w:firstLine="720"/>
        <w:rPr>
          <w:rFonts w:eastAsia="黑体"/>
          <w:sz w:val="32"/>
          <w:szCs w:val="32"/>
        </w:rPr>
      </w:pPr>
      <w:r>
        <w:rPr>
          <w:rFonts w:eastAsia="黑体"/>
          <w:sz w:val="32"/>
          <w:szCs w:val="32"/>
        </w:rPr>
        <w:t>三、项目实施及管理情况</w:t>
      </w:r>
    </w:p>
    <w:p w14:paraId="1F20E5D8">
      <w:pPr>
        <w:numPr>
          <w:ilvl w:val="0"/>
          <w:numId w:val="2"/>
        </w:numPr>
        <w:adjustRightInd w:val="0"/>
        <w:snapToGrid w:val="0"/>
        <w:spacing w:line="600" w:lineRule="exact"/>
        <w:ind w:firstLine="720"/>
        <w:rPr>
          <w:rFonts w:eastAsia="楷体_GB2312"/>
          <w:b/>
          <w:sz w:val="32"/>
          <w:szCs w:val="32"/>
          <w:lang w:val="zh-CN"/>
        </w:rPr>
      </w:pPr>
      <w:r>
        <w:rPr>
          <w:rFonts w:eastAsia="楷体_GB2312"/>
          <w:b/>
          <w:sz w:val="32"/>
          <w:szCs w:val="32"/>
          <w:lang w:val="zh-CN"/>
        </w:rPr>
        <w:t>项目组织架构及实施流程。</w:t>
      </w:r>
    </w:p>
    <w:p w14:paraId="2CFB2A9C">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人事科具体负责人才资格认定、补助发放审核等工作。</w:t>
      </w:r>
    </w:p>
    <w:p w14:paraId="0F1541E4">
      <w:pPr>
        <w:adjustRightInd w:val="0"/>
        <w:snapToGrid w:val="0"/>
        <w:spacing w:line="600" w:lineRule="exact"/>
        <w:ind w:firstLine="643" w:firstLineChars="200"/>
        <w:rPr>
          <w:rFonts w:hint="eastAsia" w:eastAsia="仿宋_GB2312"/>
          <w:sz w:val="32"/>
          <w:szCs w:val="32"/>
          <w:lang w:val="zh-CN"/>
        </w:rPr>
      </w:pPr>
      <w:r>
        <w:rPr>
          <w:rFonts w:eastAsia="楷体_GB2312"/>
          <w:b/>
          <w:sz w:val="32"/>
          <w:szCs w:val="32"/>
          <w:lang w:val="zh-CN"/>
        </w:rPr>
        <w:t>（二）项目管理情况。</w:t>
      </w:r>
      <w:r>
        <w:rPr>
          <w:rFonts w:hint="eastAsia" w:eastAsia="仿宋_GB2312"/>
          <w:sz w:val="32"/>
          <w:szCs w:val="32"/>
          <w:lang w:val="zh-CN"/>
        </w:rPr>
        <w:t>资金使用过程中严格执行财务管理制度，无违规操作。本项目不涉及政府采购及招投标事项。</w:t>
      </w:r>
    </w:p>
    <w:p w14:paraId="3FAD5713">
      <w:pPr>
        <w:adjustRightInd w:val="0"/>
        <w:snapToGrid w:val="0"/>
        <w:spacing w:line="600" w:lineRule="exact"/>
        <w:ind w:firstLine="643" w:firstLineChars="200"/>
        <w:rPr>
          <w:rFonts w:hint="eastAsia" w:eastAsia="仿宋_GB2312"/>
          <w:sz w:val="32"/>
          <w:szCs w:val="32"/>
          <w:lang w:val="zh-CN"/>
        </w:rPr>
      </w:pPr>
      <w:r>
        <w:rPr>
          <w:rFonts w:eastAsia="楷体_GB2312"/>
          <w:b/>
          <w:sz w:val="32"/>
          <w:szCs w:val="32"/>
          <w:lang w:val="zh-CN"/>
        </w:rPr>
        <w:t>（三）项目监管情况。</w:t>
      </w:r>
      <w:r>
        <w:rPr>
          <w:rFonts w:hint="eastAsia" w:eastAsia="仿宋_GB2312"/>
          <w:sz w:val="32"/>
          <w:szCs w:val="32"/>
          <w:lang w:val="zh-CN"/>
        </w:rPr>
        <w:t>本项目严格按照人才专项资金管理办法执行，主要规定如下：</w:t>
      </w:r>
    </w:p>
    <w:p w14:paraId="52024484">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支持条件：按照《人才七条》及“人才兴攀”意见执行。</w:t>
      </w:r>
    </w:p>
    <w:p w14:paraId="066DC2EC">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支持范围：主要用于发放引进人才的安家补助；</w:t>
      </w:r>
    </w:p>
    <w:p w14:paraId="795A0043">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支持方式：采取一次性或分期拨付的方式，直接发放至人才个人账户；</w:t>
      </w:r>
    </w:p>
    <w:p w14:paraId="1A69A579">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发放标准：根据人才类别，第六类卫生人才安家补助标准为5万元/人，“人才七条”第八类人才补助标准为8万元/人（合计12人，共72万元）。</w:t>
      </w:r>
    </w:p>
    <w:p w14:paraId="3FB824CF">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按需分配原则：根据年度引进人才计划及实际引进人数确定资金需求；</w:t>
      </w:r>
    </w:p>
    <w:p w14:paraId="6B91D663">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分类保障原则：按照人才类别层次，差异化设定补助标准；</w:t>
      </w:r>
    </w:p>
    <w:p w14:paraId="593AAA8F">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重点倾斜原则：优先保障急需紧缺卫生专业技术人才；</w:t>
      </w:r>
    </w:p>
    <w:p w14:paraId="7BD07BE8">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绩效导向原则：资金分配与人才引进成效挂钩，确保资金使用效益。</w:t>
      </w:r>
    </w:p>
    <w:p w14:paraId="6E55B0D7">
      <w:pPr>
        <w:adjustRightInd w:val="0"/>
        <w:snapToGrid w:val="0"/>
        <w:spacing w:line="600" w:lineRule="exact"/>
        <w:ind w:firstLine="640" w:firstLineChars="200"/>
        <w:rPr>
          <w:rFonts w:eastAsia="仿宋_GB2312"/>
          <w:sz w:val="32"/>
          <w:szCs w:val="32"/>
          <w:lang w:val="zh-CN"/>
        </w:rPr>
      </w:pPr>
      <w:r>
        <w:rPr>
          <w:rFonts w:eastAsia="黑体"/>
          <w:sz w:val="32"/>
          <w:szCs w:val="32"/>
        </w:rPr>
        <w:t>四、项目绩效情况</w:t>
      </w:r>
      <w:r>
        <w:rPr>
          <w:rFonts w:eastAsia="仿宋_GB2312"/>
          <w:sz w:val="32"/>
          <w:szCs w:val="32"/>
          <w:lang w:val="zh-CN"/>
        </w:rPr>
        <w:tab/>
      </w:r>
    </w:p>
    <w:p w14:paraId="7820A6C0">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14:paraId="14AEED5F">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数量目标：已完成12名卫生人才引进及安家补助发放，完成率100%；</w:t>
      </w:r>
    </w:p>
    <w:p w14:paraId="41BBC6C6">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质量目标：人才资格认定准确，补助标准执行到位，无差错；</w:t>
      </w:r>
    </w:p>
    <w:p w14:paraId="30CB8F13">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时效目标：资金按时拨付，人才及时享受政策待遇；</w:t>
      </w:r>
    </w:p>
    <w:p w14:paraId="14435C09">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成本目标：严格按照预算执行，无超支现象；</w:t>
      </w:r>
    </w:p>
    <w:p w14:paraId="353A2407">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资金结余：结余0万元。</w:t>
      </w:r>
    </w:p>
    <w:p w14:paraId="33DE3023">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违规记录：本项目实施过程中未发现违规违纪问题。</w:t>
      </w:r>
    </w:p>
    <w:p w14:paraId="10F760B5">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06DDD190">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高层次人才的引进提升了单位科研能力和管理水平，保障单位人才工作顺利进行。项目用途合理，运行规范，成效明显，评价结果良好，服务对象满意率≥96%。</w:t>
      </w:r>
    </w:p>
    <w:p w14:paraId="4A654D32">
      <w:pPr>
        <w:adjustRightInd w:val="0"/>
        <w:snapToGrid w:val="0"/>
        <w:spacing w:line="600" w:lineRule="exact"/>
        <w:ind w:firstLine="720"/>
        <w:rPr>
          <w:rFonts w:eastAsia="黑体"/>
          <w:sz w:val="32"/>
          <w:szCs w:val="32"/>
        </w:rPr>
      </w:pPr>
      <w:r>
        <w:rPr>
          <w:rFonts w:eastAsia="黑体"/>
          <w:sz w:val="32"/>
          <w:szCs w:val="32"/>
        </w:rPr>
        <w:t>五、评价结论及建议</w:t>
      </w:r>
    </w:p>
    <w:p w14:paraId="54685C1D">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14:paraId="7C46C944">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项目立项依据充分，目标明确，符合卫生健康人才队伍建设需求；</w:t>
      </w:r>
    </w:p>
    <w:p w14:paraId="6A4D4DB8">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资金管理规范，使用合规，专款专用，无违规违纪问题；</w:t>
      </w:r>
    </w:p>
    <w:p w14:paraId="6E73F824">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项目组织实施有序，监管措施到位，人才满意度较高；</w:t>
      </w:r>
    </w:p>
    <w:p w14:paraId="02B9D9DE">
      <w:pPr>
        <w:adjustRightInd w:val="0"/>
        <w:snapToGrid w:val="0"/>
        <w:spacing w:line="600" w:lineRule="exact"/>
        <w:ind w:firstLine="720"/>
        <w:rPr>
          <w:rFonts w:eastAsia="仿宋_GB2312"/>
          <w:sz w:val="32"/>
          <w:szCs w:val="32"/>
          <w:bdr w:val="single" w:color="auto" w:sz="4" w:space="0"/>
          <w:lang w:val="zh-CN"/>
        </w:rPr>
      </w:pPr>
      <w:r>
        <w:rPr>
          <w:rFonts w:hint="eastAsia" w:eastAsia="仿宋_GB2312"/>
          <w:sz w:val="32"/>
          <w:szCs w:val="32"/>
          <w:lang w:val="zh-CN"/>
        </w:rPr>
        <w:t>项目效益显著，有效促进了卫生人才引进和队伍建设。</w:t>
      </w:r>
    </w:p>
    <w:p w14:paraId="7CDCD5A3">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14:paraId="3C830D0D">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资金拨付时效性有待提升。</w:t>
      </w:r>
    </w:p>
    <w:p w14:paraId="1E2C5AA4">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14:paraId="116AF69B">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优化审核流程，缩短资金拨付周期。</w:t>
      </w:r>
    </w:p>
    <w:p w14:paraId="1C0C9A0A">
      <w:pPr>
        <w:spacing w:line="578" w:lineRule="exact"/>
        <w:ind w:firstLine="640"/>
        <w:rPr>
          <w:rFonts w:eastAsia="仿宋_GB2312" w:cs="仿宋_GB2312"/>
          <w:kern w:val="0"/>
          <w:sz w:val="32"/>
          <w:szCs w:val="32"/>
        </w:rPr>
      </w:pPr>
    </w:p>
    <w:p w14:paraId="0D9BF333">
      <w:pPr>
        <w:spacing w:line="578" w:lineRule="exact"/>
        <w:ind w:firstLine="640"/>
        <w:rPr>
          <w:rFonts w:eastAsia="仿宋_GB2312" w:cs="仿宋_GB2312"/>
          <w:kern w:val="0"/>
          <w:sz w:val="32"/>
          <w:szCs w:val="32"/>
        </w:rPr>
      </w:pPr>
    </w:p>
    <w:p w14:paraId="2C65919D">
      <w:pPr>
        <w:spacing w:line="578" w:lineRule="exact"/>
        <w:ind w:firstLine="640"/>
        <w:rPr>
          <w:rFonts w:eastAsia="仿宋_GB2312" w:cs="仿宋_GB2312"/>
          <w:kern w:val="0"/>
          <w:sz w:val="32"/>
          <w:szCs w:val="32"/>
        </w:rPr>
      </w:pPr>
      <w:bookmarkStart w:id="158" w:name="_Toc15396618"/>
      <w:r>
        <w:rPr>
          <w:rFonts w:hint="eastAsia" w:eastAsia="仿宋_GB2312" w:cs="仿宋_GB2312"/>
          <w:kern w:val="0"/>
          <w:sz w:val="32"/>
          <w:szCs w:val="32"/>
        </w:rPr>
        <w:br w:type="page"/>
      </w:r>
    </w:p>
    <w:p w14:paraId="2363689B">
      <w:pPr>
        <w:spacing w:line="600" w:lineRule="exact"/>
        <w:jc w:val="center"/>
        <w:rPr>
          <w:rFonts w:hint="eastAsia" w:eastAsia="方正小标宋简体"/>
          <w:sz w:val="40"/>
          <w:szCs w:val="40"/>
          <w:lang w:val="zh-CN"/>
        </w:rPr>
      </w:pPr>
      <w:r>
        <w:rPr>
          <w:rFonts w:hint="eastAsia" w:eastAsia="方正小标宋简体"/>
          <w:sz w:val="40"/>
          <w:szCs w:val="40"/>
          <w:lang w:val="zh-CN" w:eastAsia="zh-CN"/>
        </w:rPr>
        <w:t>四川省</w:t>
      </w:r>
      <w:r>
        <w:rPr>
          <w:rFonts w:hint="eastAsia" w:eastAsia="方正小标宋简体"/>
          <w:sz w:val="40"/>
          <w:szCs w:val="40"/>
          <w:lang w:val="zh-CN"/>
        </w:rPr>
        <w:t>攀枝花市中西医结合医院医疗服务</w:t>
      </w:r>
    </w:p>
    <w:p w14:paraId="119FCBBA">
      <w:pPr>
        <w:spacing w:line="600" w:lineRule="exact"/>
        <w:jc w:val="center"/>
        <w:rPr>
          <w:rFonts w:hint="eastAsia" w:eastAsia="方正小标宋简体"/>
          <w:sz w:val="40"/>
          <w:szCs w:val="40"/>
          <w:lang w:val="zh-CN"/>
        </w:rPr>
      </w:pPr>
      <w:r>
        <w:rPr>
          <w:rFonts w:hint="eastAsia" w:eastAsia="方正小标宋简体"/>
          <w:sz w:val="40"/>
          <w:szCs w:val="40"/>
          <w:lang w:val="zh-CN"/>
        </w:rPr>
        <w:t>与保障能力提升（公立医院综合改革）</w:t>
      </w:r>
    </w:p>
    <w:p w14:paraId="7D162AB8">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14:paraId="5E028D43">
      <w:pPr>
        <w:spacing w:line="600" w:lineRule="exact"/>
        <w:ind w:firstLine="640"/>
        <w:jc w:val="center"/>
        <w:rPr>
          <w:sz w:val="32"/>
          <w:szCs w:val="32"/>
          <w:lang w:val="zh-CN"/>
        </w:rPr>
      </w:pPr>
    </w:p>
    <w:p w14:paraId="1CF2B4C8">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14:paraId="036FD916">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14:paraId="5E140B5B">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根据《四川省财政厅 四川省卫生健康委员会 四川省中医药管理局关于下达2025年医疗服务与保障能力提升（公立医院综合改革）中央和省级补助资金的通知》（川财社〔2025〕57号、川财社〔2025〕64号），以攀枝花市中西医结合医院为核心实施单位，攀枝花市财政于2025年5月（攀财资社〔2025〕43号）、11月（攀财资社〔2025〕151号）共计下达攀枝花市中西医结合医院中央资金126万元，其中临床重点专科建设20万元、整合型医疗卫生服务体系建设（两紧密一贯通）50万元、中西医协同发展20万元、便民惠民服务10万元、医疗质量管理（质控分中心工作）16万元、临床用血保障10万元，结合攀枝花市公立医院综合改革实际需求及中医药事业发展规划，立项依据充分、政策导向明确。</w:t>
      </w:r>
    </w:p>
    <w:p w14:paraId="60430BFD">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在攀枝花市卫健委的指导下，结合攀枝花市中西医结合医院实际情况，由医务部牵头制定各项目专项经费实施方案，依照医院货币资金管理制度、支出管理制度、财产物资清查制度、财务决算制度、成本核算制度、收入管理制度、预算管理制度等多项财务管理制度进行规范化核算，严格落实资金管理制度，确保专项资金的安全合理使用，支持方式为中央直达财政资金，资金支出严格匹配项目实施内容。</w:t>
      </w:r>
    </w:p>
    <w:p w14:paraId="1FD1DBAA">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资金分配遵循突出重点、按需分配、注重实效、辐射引领原则，综合考虑实施单位的学科建设基础、质控分中心区域覆盖责任、临床用血保障核心作用，以及攀枝花市中西医协同发展、区域医疗服务能力提升的整体需求，优先保障临床诊疗需求迫切、改革成效显著、能发挥区域辐射作用的项目，确保资金投入与医疗服务高质量发展目标高度匹配。</w:t>
      </w:r>
    </w:p>
    <w:p w14:paraId="6CDF1262">
      <w:pPr>
        <w:adjustRightInd w:val="0"/>
        <w:snapToGrid w:val="0"/>
        <w:spacing w:line="600" w:lineRule="exact"/>
        <w:ind w:firstLine="643" w:firstLineChars="200"/>
        <w:rPr>
          <w:rFonts w:eastAsia="楷体_GB2312"/>
          <w:b/>
          <w:sz w:val="32"/>
          <w:szCs w:val="32"/>
          <w:lang w:val="zh-CN"/>
        </w:rPr>
      </w:pPr>
      <w:r>
        <w:rPr>
          <w:rFonts w:eastAsia="楷体_GB2312"/>
          <w:b/>
          <w:sz w:val="32"/>
          <w:szCs w:val="32"/>
          <w:lang w:val="zh-CN"/>
        </w:rPr>
        <w:t>（二）项目绩效目标。</w:t>
      </w:r>
    </w:p>
    <w:p w14:paraId="0C9F9576">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2025年5月资金下达，同步制定实施方案并推进工作；11月临床用血保障资金下达，立即启动相关设备维护、安全培训、应急储备等工作；2025年1—12月持续开展项目实施、阶段性督导与成效评估；2025年12月完成项目全面总结、绩效数据核算及自评工作。</w:t>
      </w:r>
    </w:p>
    <w:p w14:paraId="0B723659">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一是临床重点专科建设。强化学科建设内涵，提升医疗核心竞争力。推动重点学科高水平建设。全年新增国家中医优势专科培育单位1个（神志病科）、省级中医优势专科4个（耳鼻咽喉科、心血管科、妇科、肺病科）、省级中西医协同“旗舰”科室3个（脑病科、肿瘤科、重症医学科），获批攀枝花市临床重点专科2个（耳鼻咽喉科、呼吸内科）。眼科入选第二批“四川省临床重点专科联盟单位”（中医类）。专病诊疗中心建设取得新突破，医院组织修复与重建中心获批2025年攀枝花市专病诊疗中心建设项目。目前，医院重点专科已达60个，覆盖率超85%。</w:t>
      </w:r>
    </w:p>
    <w:p w14:paraId="689F7662">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二是整合型医疗卫生服务体系建设（两紧密一贯通）。积极破解东区医疗结构性断层导致的“统筹难、共享难、承接难”等现实问题，探索“以市带区、区社一体”改革路径，补位“区级”功能，配备超声等必要设备，设立临床技能培训基地1个，全年接受各级各类进修、培训人员超过500人。帮助基层新增诊疗项目数量超过10项，全面建成心电诊断、医学影像、临床检验、病理等五大资源共享中心，实现“基层检查、上级诊断、结果互认”。</w:t>
      </w:r>
    </w:p>
    <w:p w14:paraId="2D9F055A">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三是中西医协同发展。全年开展新技术新项目数量超过30项，涵盖胸主动脉覆膜支架置入术等，提升医疗技术水平。引进手术显微镜等设备，开展骨科机器人手术数量超过80台，组建5G+骨科机器人联盟等，拓展合作网络。上线人工智能医护助手等系统，提高医疗服务效率。进一步夯实重点学科建设的硬支撑与软实力，推动中西医协同发展，为医院高质量发展注入持续动能。</w:t>
      </w:r>
    </w:p>
    <w:p w14:paraId="4D0BC4FE">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四是便民惠民服务。深化大门诊内涵，完成儿科、眼科、超声科门诊就医环境改造，新设心康、体重管理特色门诊，推动多学科联合门诊深入开展，提升门诊服务多样性。上线体检导诊系统，确保年度干部体检、征兵体检高质量完成。设立长者挂号、医保专区，动态增开潮汐门诊，完成日间化疗、中医系统升级，提高门诊运行效率与患者就医便捷度，住院患者满意度大于96%，同比上升2%。以优质、高效、便捷的服务，切实增强民众就医获得感。</w:t>
      </w:r>
    </w:p>
    <w:p w14:paraId="189F4940">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五是医疗质量管理（质控分中心工作）。新增全科医学科市级质控分中心。完成16个市级质控中心医疗质量控制与管理工作，全年开展质控督导12次，召开专题培训会议20次，培训人员500余人次，持续强化市级质控网络的专业引领与区域辐射功能。</w:t>
      </w:r>
    </w:p>
    <w:p w14:paraId="79F93666">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六是临床用血保障。实现区域临床用血供应率100%，用血安全事故发生率为0，完成临床用血相关培训3场次，医疗机构用血规范率100%，获评市级无偿献血先进单位。</w:t>
      </w:r>
    </w:p>
    <w:p w14:paraId="6148D415">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项目与攀枝花市公立医院综合改革及中医药事业发展的实际需求高度契合，与攀枝花市中西医结合医院“西医专科强大，中医特色突出，医教研产协同发展”的战略目标深度匹配；各项绩效目标结合医院学科建设、质控管理、用血保障等工作的实际基础制定，量化指标清晰可衡量、可实现，实施进度与资金下达时间、项目实施周期高度适配，申报目标合理、可行，无目标设定不合理情况。</w:t>
      </w:r>
    </w:p>
    <w:p w14:paraId="337861EE">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2068554C">
      <w:pPr>
        <w:adjustRightInd w:val="0"/>
        <w:snapToGrid w:val="0"/>
        <w:spacing w:line="600" w:lineRule="exact"/>
        <w:ind w:firstLine="640" w:firstLineChars="200"/>
        <w:rPr>
          <w:rFonts w:hint="eastAsia" w:eastAsia="仿宋_GB2312"/>
          <w:sz w:val="32"/>
          <w:szCs w:val="32"/>
          <w:lang w:val="zh-CN"/>
        </w:rPr>
      </w:pPr>
      <w:r>
        <w:rPr>
          <w:rFonts w:hint="eastAsia" w:eastAsia="仿宋_GB2312"/>
          <w:sz w:val="32"/>
          <w:szCs w:val="32"/>
          <w:lang w:val="zh-CN"/>
        </w:rPr>
        <w:t>首先收集项目申报、资金、财务制度等相关资料，依据项目目标和省级管理方案，按照定量指标、定性指标，制定自评指标体系以及单位实施方案，项目结束，根据项目完成情况、目标完成度，汇总问题及建议并提交给管理部门，根据反馈制定改进措施，持续优化。</w:t>
      </w:r>
    </w:p>
    <w:p w14:paraId="2139E3F3">
      <w:pPr>
        <w:adjustRightInd w:val="0"/>
        <w:snapToGrid w:val="0"/>
        <w:spacing w:line="600" w:lineRule="exact"/>
        <w:ind w:firstLine="720"/>
        <w:rPr>
          <w:rFonts w:eastAsia="黑体"/>
          <w:sz w:val="32"/>
          <w:szCs w:val="32"/>
        </w:rPr>
      </w:pPr>
      <w:r>
        <w:rPr>
          <w:rFonts w:eastAsia="黑体"/>
          <w:sz w:val="32"/>
          <w:szCs w:val="32"/>
        </w:rPr>
        <w:t>二、项目资金申报及使用情况</w:t>
      </w:r>
    </w:p>
    <w:p w14:paraId="65DB52FF">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14:paraId="044754E4">
      <w:pPr>
        <w:adjustRightInd w:val="0"/>
        <w:snapToGrid w:val="0"/>
        <w:spacing w:line="600" w:lineRule="exact"/>
        <w:ind w:firstLine="720"/>
        <w:rPr>
          <w:rFonts w:eastAsia="仿宋_GB2312"/>
          <w:sz w:val="32"/>
          <w:szCs w:val="32"/>
          <w:lang w:val="zh-CN"/>
        </w:rPr>
      </w:pPr>
      <w:r>
        <w:rPr>
          <w:rFonts w:eastAsia="仿宋_GB2312"/>
          <w:sz w:val="32"/>
          <w:szCs w:val="32"/>
          <w:lang w:val="zh-CN"/>
        </w:rPr>
        <w:t>本专项由攀枝花市卫生健康委员会根据省级文件要求，结合攀枝花市医疗服务与保障能力提升实际需求，编制资金申报材料并向攀枝花市财政局申报；经市财政局审核后，依据攀财资社〔2025〕43号（2025年5月20日）、攀财资社〔2025〕151号（2025年11月25日）文件分两批批复下达中央直达资金共计</w:t>
      </w:r>
      <w:r>
        <w:rPr>
          <w:rFonts w:hint="eastAsia" w:eastAsia="仿宋_GB2312"/>
          <w:sz w:val="32"/>
          <w:szCs w:val="32"/>
          <w:lang w:val="zh-CN"/>
        </w:rPr>
        <w:t>126</w:t>
      </w:r>
      <w:r>
        <w:rPr>
          <w:rFonts w:eastAsia="仿宋_GB2312"/>
          <w:sz w:val="32"/>
          <w:szCs w:val="32"/>
          <w:lang w:val="zh-CN"/>
        </w:rPr>
        <w:t>万元，项目资金申报、批复程序严格符合《中华人民共和国预算法》及专项资金管理相关规定，申报额度与批复额度完全一致。</w:t>
      </w:r>
    </w:p>
    <w:p w14:paraId="76955915">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14:paraId="4C83C9B9">
      <w:pPr>
        <w:adjustRightInd w:val="0"/>
        <w:snapToGrid w:val="0"/>
        <w:spacing w:line="600" w:lineRule="exact"/>
        <w:ind w:firstLine="720"/>
        <w:rPr>
          <w:rFonts w:eastAsia="仿宋_GB2312"/>
          <w:sz w:val="32"/>
          <w:szCs w:val="32"/>
          <w:lang w:val="zh-CN"/>
        </w:rPr>
      </w:pPr>
      <w:r>
        <w:rPr>
          <w:rFonts w:eastAsia="仿宋_GB2312"/>
          <w:sz w:val="32"/>
          <w:szCs w:val="32"/>
          <w:lang w:val="zh-CN"/>
        </w:rPr>
        <w:t>本专项项目资金均为中央直达财政资金，无省、市、县级财政配套资金，无项目单位自筹及其他渠道资金，资金计划、到位及使用情况如下表：</w:t>
      </w:r>
    </w:p>
    <w:tbl>
      <w:tblPr>
        <w:tblStyle w:val="17"/>
        <w:tblW w:w="8413" w:type="dxa"/>
        <w:jc w:val="center"/>
        <w:tblLayout w:type="fixed"/>
        <w:tblCellMar>
          <w:top w:w="0" w:type="dxa"/>
          <w:left w:w="108" w:type="dxa"/>
          <w:bottom w:w="0" w:type="dxa"/>
          <w:right w:w="108" w:type="dxa"/>
        </w:tblCellMar>
      </w:tblPr>
      <w:tblGrid>
        <w:gridCol w:w="1894"/>
        <w:gridCol w:w="1131"/>
        <w:gridCol w:w="1237"/>
        <w:gridCol w:w="1435"/>
        <w:gridCol w:w="2716"/>
      </w:tblGrid>
      <w:tr w14:paraId="61C565C5">
        <w:tblPrEx>
          <w:tblCellMar>
            <w:top w:w="0" w:type="dxa"/>
            <w:left w:w="108" w:type="dxa"/>
            <w:bottom w:w="0" w:type="dxa"/>
            <w:right w:w="108" w:type="dxa"/>
          </w:tblCellMar>
        </w:tblPrEx>
        <w:trPr>
          <w:trHeight w:val="649" w:hRule="atLeast"/>
          <w:jc w:val="center"/>
        </w:trPr>
        <w:tc>
          <w:tcPr>
            <w:tcW w:w="1894" w:type="dxa"/>
            <w:vMerge w:val="restart"/>
            <w:tcBorders>
              <w:top w:val="single" w:color="000000" w:sz="4" w:space="0"/>
              <w:left w:val="single" w:color="000000" w:sz="4" w:space="0"/>
              <w:bottom w:val="nil"/>
              <w:right w:val="single" w:color="000000" w:sz="4" w:space="0"/>
            </w:tcBorders>
            <w:shd w:val="clear" w:color="auto" w:fill="FFFFFF"/>
            <w:vAlign w:val="center"/>
          </w:tcPr>
          <w:p w14:paraId="21729B98">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项目名称</w:t>
            </w:r>
          </w:p>
        </w:tc>
        <w:tc>
          <w:tcPr>
            <w:tcW w:w="38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635617">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资金下达情况</w:t>
            </w:r>
          </w:p>
        </w:tc>
        <w:tc>
          <w:tcPr>
            <w:tcW w:w="2716" w:type="dxa"/>
            <w:vMerge w:val="restart"/>
            <w:tcBorders>
              <w:top w:val="single" w:color="000000" w:sz="4" w:space="0"/>
              <w:left w:val="single" w:color="000000" w:sz="4" w:space="0"/>
              <w:right w:val="single" w:color="000000" w:sz="4" w:space="0"/>
            </w:tcBorders>
            <w:shd w:val="clear" w:color="auto" w:fill="auto"/>
            <w:noWrap/>
            <w:vAlign w:val="center"/>
          </w:tcPr>
          <w:p w14:paraId="1EFA4FE3">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资金使用方向</w:t>
            </w:r>
          </w:p>
        </w:tc>
      </w:tr>
      <w:tr w14:paraId="1DDF68FD">
        <w:tblPrEx>
          <w:tblCellMar>
            <w:top w:w="0" w:type="dxa"/>
            <w:left w:w="108" w:type="dxa"/>
            <w:bottom w:w="0" w:type="dxa"/>
            <w:right w:w="108" w:type="dxa"/>
          </w:tblCellMar>
        </w:tblPrEx>
        <w:trPr>
          <w:trHeight w:val="836" w:hRule="atLeast"/>
          <w:jc w:val="center"/>
        </w:trPr>
        <w:tc>
          <w:tcPr>
            <w:tcW w:w="1894" w:type="dxa"/>
            <w:vMerge w:val="continue"/>
            <w:tcBorders>
              <w:top w:val="single" w:color="000000" w:sz="4" w:space="0"/>
              <w:left w:val="single" w:color="000000" w:sz="4" w:space="0"/>
              <w:bottom w:val="nil"/>
              <w:right w:val="single" w:color="000000" w:sz="4" w:space="0"/>
            </w:tcBorders>
            <w:shd w:val="clear" w:color="auto" w:fill="FFFFFF"/>
            <w:vAlign w:val="center"/>
          </w:tcPr>
          <w:p w14:paraId="43EC56A8">
            <w:pPr>
              <w:spacing w:before="120" w:after="120" w:line="288" w:lineRule="auto"/>
              <w:jc w:val="center"/>
              <w:rPr>
                <w:rFonts w:ascii="仿宋_GB2312" w:hAnsi="仿宋_GB2312" w:cs="仿宋_GB2312"/>
                <w:kern w:val="0"/>
                <w:sz w:val="24"/>
                <w:szCs w:val="28"/>
              </w:rPr>
            </w:pPr>
          </w:p>
        </w:tc>
        <w:tc>
          <w:tcPr>
            <w:tcW w:w="1131"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82CD2B8">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资金下达文号</w:t>
            </w:r>
          </w:p>
        </w:tc>
        <w:tc>
          <w:tcPr>
            <w:tcW w:w="1237"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F9AB806">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资金下达时间</w:t>
            </w:r>
          </w:p>
        </w:tc>
        <w:tc>
          <w:tcPr>
            <w:tcW w:w="1435" w:type="dxa"/>
            <w:tcBorders>
              <w:top w:val="single" w:color="000000" w:sz="4" w:space="0"/>
              <w:left w:val="single" w:color="000000" w:sz="4" w:space="0"/>
              <w:bottom w:val="nil"/>
              <w:right w:val="single" w:color="000000" w:sz="4" w:space="0"/>
            </w:tcBorders>
            <w:shd w:val="clear" w:color="auto" w:fill="FFFFFF"/>
            <w:vAlign w:val="center"/>
          </w:tcPr>
          <w:p w14:paraId="55E804AB">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资金下达金额</w:t>
            </w:r>
          </w:p>
        </w:tc>
        <w:tc>
          <w:tcPr>
            <w:tcW w:w="2716" w:type="dxa"/>
            <w:vMerge w:val="continue"/>
            <w:tcBorders>
              <w:left w:val="single" w:color="000000" w:sz="4" w:space="0"/>
              <w:bottom w:val="single" w:color="000000" w:sz="4" w:space="0"/>
              <w:right w:val="single" w:color="000000" w:sz="4" w:space="0"/>
            </w:tcBorders>
            <w:shd w:val="clear" w:color="auto" w:fill="auto"/>
            <w:noWrap/>
            <w:vAlign w:val="center"/>
          </w:tcPr>
          <w:p w14:paraId="7E71F4BC">
            <w:pPr>
              <w:spacing w:before="120" w:after="120" w:line="288" w:lineRule="auto"/>
              <w:jc w:val="center"/>
              <w:rPr>
                <w:rFonts w:ascii="仿宋_GB2312" w:hAnsi="仿宋_GB2312" w:cs="仿宋_GB2312"/>
                <w:kern w:val="0"/>
                <w:sz w:val="24"/>
                <w:szCs w:val="28"/>
              </w:rPr>
            </w:pPr>
          </w:p>
        </w:tc>
      </w:tr>
      <w:tr w14:paraId="0C9DEFEA">
        <w:tblPrEx>
          <w:tblCellMar>
            <w:top w:w="0" w:type="dxa"/>
            <w:left w:w="108" w:type="dxa"/>
            <w:bottom w:w="0" w:type="dxa"/>
            <w:right w:w="108" w:type="dxa"/>
          </w:tblCellMar>
        </w:tblPrEx>
        <w:trPr>
          <w:trHeight w:val="857" w:hRule="atLeast"/>
          <w:jc w:val="center"/>
        </w:trPr>
        <w:tc>
          <w:tcPr>
            <w:tcW w:w="1894"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FD75ED7">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临床重点专科建设</w:t>
            </w:r>
          </w:p>
        </w:tc>
        <w:tc>
          <w:tcPr>
            <w:tcW w:w="1131"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4194518C">
            <w:pPr>
              <w:spacing w:before="120" w:after="120" w:line="288" w:lineRule="auto"/>
              <w:jc w:val="center"/>
              <w:rPr>
                <w:rFonts w:ascii="仿宋_GB2312" w:hAnsi="仿宋_GB2312" w:cs="仿宋_GB2312"/>
                <w:kern w:val="0"/>
                <w:sz w:val="24"/>
                <w:szCs w:val="28"/>
              </w:rPr>
            </w:pPr>
          </w:p>
          <w:p w14:paraId="037E9566">
            <w:pPr>
              <w:spacing w:before="120" w:after="120" w:line="288" w:lineRule="auto"/>
              <w:jc w:val="center"/>
              <w:rPr>
                <w:rFonts w:ascii="仿宋_GB2312" w:hAnsi="仿宋_GB2312" w:cs="仿宋_GB2312"/>
                <w:kern w:val="0"/>
                <w:sz w:val="24"/>
                <w:szCs w:val="28"/>
              </w:rPr>
            </w:pPr>
          </w:p>
          <w:p w14:paraId="65C25A07">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攀财资社〔2025〕43号</w:t>
            </w:r>
          </w:p>
        </w:tc>
        <w:tc>
          <w:tcPr>
            <w:tcW w:w="1237"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6184341">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20250520</w:t>
            </w:r>
          </w:p>
        </w:tc>
        <w:tc>
          <w:tcPr>
            <w:tcW w:w="1435"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467FC970">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200,000.00</w:t>
            </w:r>
          </w:p>
        </w:tc>
        <w:tc>
          <w:tcPr>
            <w:tcW w:w="27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8317B">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必要设备购置、专家坐诊巡诊、继续教育培训、专家工作站建设等</w:t>
            </w:r>
          </w:p>
        </w:tc>
      </w:tr>
      <w:tr w14:paraId="52BA5A73">
        <w:tblPrEx>
          <w:tblCellMar>
            <w:top w:w="0" w:type="dxa"/>
            <w:left w:w="108" w:type="dxa"/>
            <w:bottom w:w="0" w:type="dxa"/>
            <w:right w:w="108" w:type="dxa"/>
          </w:tblCellMar>
        </w:tblPrEx>
        <w:trPr>
          <w:trHeight w:val="1337" w:hRule="atLeast"/>
          <w:jc w:val="center"/>
        </w:trPr>
        <w:tc>
          <w:tcPr>
            <w:tcW w:w="1894"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F7A257B">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整合型医疗卫生服务体系建设（两紧密一贯通）</w:t>
            </w:r>
          </w:p>
        </w:tc>
        <w:tc>
          <w:tcPr>
            <w:tcW w:w="1131"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513485F">
            <w:pPr>
              <w:spacing w:before="120" w:after="120" w:line="288" w:lineRule="auto"/>
              <w:jc w:val="center"/>
              <w:rPr>
                <w:rFonts w:ascii="仿宋_GB2312" w:hAnsi="仿宋_GB2312" w:cs="仿宋_GB2312"/>
                <w:kern w:val="0"/>
                <w:sz w:val="24"/>
                <w:szCs w:val="28"/>
              </w:rPr>
            </w:pPr>
          </w:p>
        </w:tc>
        <w:tc>
          <w:tcPr>
            <w:tcW w:w="1237"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A9E0CB4">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20250520</w:t>
            </w:r>
          </w:p>
        </w:tc>
        <w:tc>
          <w:tcPr>
            <w:tcW w:w="1435"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4E09D359">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500,000.00</w:t>
            </w:r>
          </w:p>
        </w:tc>
        <w:tc>
          <w:tcPr>
            <w:tcW w:w="27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EF34B">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必要设备购置等</w:t>
            </w:r>
          </w:p>
        </w:tc>
      </w:tr>
      <w:tr w14:paraId="1B69E731">
        <w:tblPrEx>
          <w:tblCellMar>
            <w:top w:w="0" w:type="dxa"/>
            <w:left w:w="108" w:type="dxa"/>
            <w:bottom w:w="0" w:type="dxa"/>
            <w:right w:w="108" w:type="dxa"/>
          </w:tblCellMar>
        </w:tblPrEx>
        <w:trPr>
          <w:trHeight w:val="836" w:hRule="atLeast"/>
          <w:jc w:val="center"/>
        </w:trPr>
        <w:tc>
          <w:tcPr>
            <w:tcW w:w="1894" w:type="dxa"/>
            <w:tcBorders>
              <w:top w:val="single" w:color="000000" w:sz="4" w:space="0"/>
              <w:left w:val="single" w:color="000000" w:sz="4" w:space="0"/>
              <w:bottom w:val="single" w:color="000000" w:sz="4" w:space="0"/>
              <w:right w:val="single" w:color="auto" w:sz="4" w:space="0"/>
            </w:tcBorders>
            <w:shd w:val="clear" w:color="auto" w:fill="FFFFFF"/>
            <w:vAlign w:val="center"/>
          </w:tcPr>
          <w:p w14:paraId="246994A6">
            <w:pPr>
              <w:spacing w:before="120" w:after="120" w:line="288" w:lineRule="auto"/>
              <w:jc w:val="center"/>
              <w:rPr>
                <w:rFonts w:ascii="仿宋_GB2312" w:hAnsi="仿宋_GB2312" w:cs="仿宋_GB2312"/>
                <w:color w:val="000000" w:themeColor="text1"/>
                <w:kern w:val="0"/>
                <w:sz w:val="24"/>
                <w:szCs w:val="28"/>
                <w14:textFill>
                  <w14:solidFill>
                    <w14:schemeClr w14:val="tx1"/>
                  </w14:solidFill>
                </w14:textFill>
              </w:rPr>
            </w:pPr>
            <w:r>
              <w:rPr>
                <w:rFonts w:hint="eastAsia" w:ascii="仿宋_GB2312" w:hAnsi="仿宋_GB2312" w:cs="仿宋_GB2312"/>
                <w:color w:val="000000" w:themeColor="text1"/>
                <w:kern w:val="0"/>
                <w:sz w:val="24"/>
                <w:szCs w:val="28"/>
                <w14:textFill>
                  <w14:solidFill>
                    <w14:schemeClr w14:val="tx1"/>
                  </w14:solidFill>
                </w14:textFill>
              </w:rPr>
              <w:t>中西医协同发展</w:t>
            </w:r>
          </w:p>
        </w:tc>
        <w:tc>
          <w:tcPr>
            <w:tcW w:w="1131" w:type="dxa"/>
            <w:vMerge w:val="continue"/>
            <w:tcBorders>
              <w:top w:val="single" w:color="auto" w:sz="4" w:space="0"/>
              <w:left w:val="single" w:color="auto" w:sz="4" w:space="0"/>
              <w:right w:val="single" w:color="000000" w:sz="4" w:space="0"/>
            </w:tcBorders>
            <w:shd w:val="clear" w:color="auto" w:fill="FFFFFF"/>
            <w:noWrap/>
            <w:vAlign w:val="center"/>
          </w:tcPr>
          <w:p w14:paraId="7AF52E47">
            <w:pPr>
              <w:spacing w:before="120" w:after="120" w:line="288" w:lineRule="auto"/>
              <w:jc w:val="center"/>
              <w:rPr>
                <w:rFonts w:ascii="仿宋_GB2312" w:hAnsi="仿宋_GB2312" w:cs="仿宋_GB2312"/>
                <w:kern w:val="0"/>
                <w:sz w:val="24"/>
                <w:szCs w:val="28"/>
              </w:rPr>
            </w:pPr>
          </w:p>
        </w:tc>
        <w:tc>
          <w:tcPr>
            <w:tcW w:w="1237" w:type="dxa"/>
            <w:tcBorders>
              <w:top w:val="single" w:color="auto" w:sz="4" w:space="0"/>
              <w:left w:val="single" w:color="000000" w:sz="4" w:space="0"/>
              <w:bottom w:val="single" w:color="000000" w:sz="4" w:space="0"/>
              <w:right w:val="single" w:color="000000" w:sz="4" w:space="0"/>
            </w:tcBorders>
            <w:shd w:val="clear" w:color="auto" w:fill="FFFFFF"/>
            <w:noWrap/>
            <w:vAlign w:val="center"/>
          </w:tcPr>
          <w:p w14:paraId="3195C66F">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20250520</w:t>
            </w:r>
          </w:p>
        </w:tc>
        <w:tc>
          <w:tcPr>
            <w:tcW w:w="1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CF025">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200,000.00</w:t>
            </w:r>
          </w:p>
        </w:tc>
        <w:tc>
          <w:tcPr>
            <w:tcW w:w="27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1DEC8">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必要设备购置等</w:t>
            </w:r>
          </w:p>
        </w:tc>
      </w:tr>
      <w:tr w14:paraId="1E55DAC3">
        <w:tblPrEx>
          <w:tblCellMar>
            <w:top w:w="0" w:type="dxa"/>
            <w:left w:w="108" w:type="dxa"/>
            <w:bottom w:w="0" w:type="dxa"/>
            <w:right w:w="108" w:type="dxa"/>
          </w:tblCellMar>
        </w:tblPrEx>
        <w:trPr>
          <w:trHeight w:val="836" w:hRule="atLeast"/>
          <w:jc w:val="center"/>
        </w:trPr>
        <w:tc>
          <w:tcPr>
            <w:tcW w:w="1894" w:type="dxa"/>
            <w:tcBorders>
              <w:top w:val="single" w:color="000000" w:sz="4" w:space="0"/>
              <w:left w:val="single" w:color="000000" w:sz="4" w:space="0"/>
              <w:bottom w:val="single" w:color="auto" w:sz="4" w:space="0"/>
              <w:right w:val="single" w:color="auto" w:sz="4" w:space="0"/>
            </w:tcBorders>
            <w:shd w:val="clear" w:color="auto" w:fill="FFFFFF"/>
            <w:vAlign w:val="center"/>
          </w:tcPr>
          <w:p w14:paraId="3A490505">
            <w:pPr>
              <w:spacing w:before="120" w:after="120" w:line="288" w:lineRule="auto"/>
              <w:jc w:val="center"/>
              <w:rPr>
                <w:rFonts w:ascii="仿宋_GB2312" w:hAnsi="仿宋_GB2312" w:cs="仿宋_GB2312"/>
                <w:color w:val="000000" w:themeColor="text1"/>
                <w:kern w:val="0"/>
                <w:sz w:val="24"/>
                <w:szCs w:val="28"/>
                <w14:textFill>
                  <w14:solidFill>
                    <w14:schemeClr w14:val="tx1"/>
                  </w14:solidFill>
                </w14:textFill>
              </w:rPr>
            </w:pPr>
            <w:r>
              <w:rPr>
                <w:rFonts w:hint="eastAsia" w:ascii="仿宋_GB2312" w:hAnsi="仿宋_GB2312" w:cs="仿宋_GB2312"/>
                <w:color w:val="000000" w:themeColor="text1"/>
                <w:kern w:val="0"/>
                <w:sz w:val="24"/>
                <w:szCs w:val="28"/>
                <w14:textFill>
                  <w14:solidFill>
                    <w14:schemeClr w14:val="tx1"/>
                  </w14:solidFill>
                </w14:textFill>
              </w:rPr>
              <w:t>便民惠民服务</w:t>
            </w:r>
          </w:p>
        </w:tc>
        <w:tc>
          <w:tcPr>
            <w:tcW w:w="1131" w:type="dxa"/>
            <w:vMerge w:val="continue"/>
            <w:tcBorders>
              <w:left w:val="single" w:color="auto" w:sz="4" w:space="0"/>
              <w:bottom w:val="single" w:color="auto" w:sz="4" w:space="0"/>
              <w:right w:val="single" w:color="000000" w:sz="4" w:space="0"/>
            </w:tcBorders>
            <w:shd w:val="clear" w:color="auto" w:fill="FFFFFF"/>
            <w:noWrap/>
            <w:vAlign w:val="center"/>
          </w:tcPr>
          <w:p w14:paraId="766B7525">
            <w:pPr>
              <w:spacing w:before="120" w:after="120" w:line="288" w:lineRule="auto"/>
              <w:jc w:val="center"/>
              <w:rPr>
                <w:rFonts w:ascii="仿宋_GB2312" w:hAnsi="仿宋_GB2312" w:cs="仿宋_GB2312"/>
                <w:kern w:val="0"/>
                <w:sz w:val="24"/>
                <w:szCs w:val="28"/>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A4FC8">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20250520</w:t>
            </w:r>
          </w:p>
        </w:tc>
        <w:tc>
          <w:tcPr>
            <w:tcW w:w="1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FF644">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100,000.00</w:t>
            </w:r>
          </w:p>
        </w:tc>
        <w:tc>
          <w:tcPr>
            <w:tcW w:w="27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E7B1D">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必要设备购置等</w:t>
            </w:r>
          </w:p>
        </w:tc>
      </w:tr>
      <w:tr w14:paraId="6F118F7C">
        <w:tblPrEx>
          <w:tblCellMar>
            <w:top w:w="0" w:type="dxa"/>
            <w:left w:w="108" w:type="dxa"/>
            <w:bottom w:w="0" w:type="dxa"/>
            <w:right w:w="108" w:type="dxa"/>
          </w:tblCellMar>
        </w:tblPrEx>
        <w:trPr>
          <w:trHeight w:val="1840" w:hRule="atLeast"/>
          <w:jc w:val="center"/>
        </w:trPr>
        <w:tc>
          <w:tcPr>
            <w:tcW w:w="189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6ACACC0">
            <w:pPr>
              <w:spacing w:before="120" w:after="120" w:line="288" w:lineRule="auto"/>
              <w:jc w:val="center"/>
              <w:rPr>
                <w:rFonts w:ascii="仿宋_GB2312" w:hAnsi="仿宋_GB2312" w:cs="仿宋_GB2312"/>
                <w:color w:val="000000" w:themeColor="text1"/>
                <w:kern w:val="0"/>
                <w:sz w:val="24"/>
                <w:szCs w:val="28"/>
                <w14:textFill>
                  <w14:solidFill>
                    <w14:schemeClr w14:val="tx1"/>
                  </w14:solidFill>
                </w14:textFill>
              </w:rPr>
            </w:pPr>
            <w:r>
              <w:rPr>
                <w:rFonts w:hint="eastAsia" w:ascii="仿宋_GB2312" w:hAnsi="仿宋_GB2312" w:cs="仿宋_GB2312"/>
                <w:color w:val="000000" w:themeColor="text1"/>
                <w:kern w:val="0"/>
                <w:sz w:val="24"/>
                <w:szCs w:val="28"/>
                <w14:textFill>
                  <w14:solidFill>
                    <w14:schemeClr w14:val="tx1"/>
                  </w14:solidFill>
                </w14:textFill>
              </w:rPr>
              <w:t>医疗质量管理（质控分中心工作）</w:t>
            </w:r>
          </w:p>
        </w:tc>
        <w:tc>
          <w:tcPr>
            <w:tcW w:w="1131" w:type="dxa"/>
            <w:tcBorders>
              <w:top w:val="single" w:color="auto" w:sz="4" w:space="0"/>
              <w:left w:val="single" w:color="000000" w:sz="4" w:space="0"/>
              <w:bottom w:val="single" w:color="000000" w:sz="4" w:space="0"/>
              <w:right w:val="single" w:color="000000" w:sz="4" w:space="0"/>
            </w:tcBorders>
            <w:shd w:val="clear" w:color="auto" w:fill="FFFFFF"/>
            <w:noWrap/>
            <w:vAlign w:val="center"/>
          </w:tcPr>
          <w:p w14:paraId="04209BF7">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攀财资社〔2025〕43号、151号</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3F755">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20250520</w:t>
            </w:r>
          </w:p>
        </w:tc>
        <w:tc>
          <w:tcPr>
            <w:tcW w:w="1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4DE71">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160,000.00</w:t>
            </w:r>
          </w:p>
        </w:tc>
        <w:tc>
          <w:tcPr>
            <w:tcW w:w="27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9E86A">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专业质控督导、评价、全市技术人员培训、学术交流与培训、业务技能大赛等</w:t>
            </w:r>
          </w:p>
        </w:tc>
      </w:tr>
      <w:tr w14:paraId="7A98956E">
        <w:tblPrEx>
          <w:tblCellMar>
            <w:top w:w="0" w:type="dxa"/>
            <w:left w:w="108" w:type="dxa"/>
            <w:bottom w:w="0" w:type="dxa"/>
            <w:right w:w="108" w:type="dxa"/>
          </w:tblCellMar>
        </w:tblPrEx>
        <w:trPr>
          <w:trHeight w:val="1351" w:hRule="atLeast"/>
          <w:jc w:val="center"/>
        </w:trPr>
        <w:tc>
          <w:tcPr>
            <w:tcW w:w="1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6F59A">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临床用血保障</w:t>
            </w:r>
          </w:p>
        </w:tc>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51D55">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攀财资社〔2025〕151号</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8F63E">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20251125</w:t>
            </w:r>
          </w:p>
        </w:tc>
        <w:tc>
          <w:tcPr>
            <w:tcW w:w="1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36CDC">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100,000.00</w:t>
            </w:r>
          </w:p>
        </w:tc>
        <w:tc>
          <w:tcPr>
            <w:tcW w:w="27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28AE4">
            <w:pPr>
              <w:spacing w:before="120" w:after="120" w:line="288" w:lineRule="auto"/>
              <w:jc w:val="center"/>
              <w:rPr>
                <w:rFonts w:ascii="仿宋_GB2312" w:hAnsi="仿宋_GB2312" w:cs="仿宋_GB2312"/>
                <w:kern w:val="0"/>
                <w:sz w:val="24"/>
                <w:szCs w:val="28"/>
              </w:rPr>
            </w:pPr>
            <w:r>
              <w:rPr>
                <w:rFonts w:hint="eastAsia" w:ascii="仿宋_GB2312" w:hAnsi="仿宋_GB2312" w:cs="仿宋_GB2312"/>
                <w:kern w:val="0"/>
                <w:sz w:val="24"/>
                <w:szCs w:val="28"/>
              </w:rPr>
              <w:t>必要设备</w:t>
            </w:r>
            <w:r>
              <w:rPr>
                <w:rFonts w:hint="eastAsia" w:ascii="仿宋_GB2312" w:hAnsi="仿宋_GB2312" w:cs="仿宋_GB2312"/>
                <w:kern w:val="0"/>
                <w:sz w:val="24"/>
                <w:szCs w:val="28"/>
                <w:lang w:eastAsia="zh-CN"/>
              </w:rPr>
              <w:t>及</w:t>
            </w:r>
            <w:r>
              <w:rPr>
                <w:rFonts w:hint="eastAsia" w:ascii="仿宋_GB2312" w:hAnsi="仿宋_GB2312" w:cs="仿宋_GB2312"/>
                <w:kern w:val="0"/>
                <w:sz w:val="24"/>
                <w:szCs w:val="28"/>
              </w:rPr>
              <w:t>耗材购置等</w:t>
            </w:r>
          </w:p>
        </w:tc>
      </w:tr>
    </w:tbl>
    <w:p w14:paraId="72EB98F2">
      <w:pPr>
        <w:adjustRightInd w:val="0"/>
        <w:snapToGrid w:val="0"/>
        <w:spacing w:line="600" w:lineRule="exact"/>
        <w:ind w:firstLine="720"/>
        <w:rPr>
          <w:rFonts w:eastAsia="仿宋_GB2312"/>
          <w:sz w:val="32"/>
          <w:szCs w:val="32"/>
          <w:lang w:val="zh-CN"/>
        </w:rPr>
      </w:pPr>
      <w:r>
        <w:rPr>
          <w:rFonts w:eastAsia="仿宋_GB2312"/>
          <w:sz w:val="32"/>
          <w:szCs w:val="32"/>
          <w:lang w:val="zh-CN"/>
        </w:rPr>
        <w:t>截至评价时点，专项资金100%到位，到位时间与实施进度匹配，无延迟情况。资金支付范围、标准、依据均合规，</w:t>
      </w:r>
      <w:r>
        <w:rPr>
          <w:rFonts w:hint="eastAsia" w:eastAsia="仿宋_GB2312"/>
          <w:sz w:val="32"/>
          <w:szCs w:val="32"/>
          <w:lang w:val="zh-CN"/>
        </w:rPr>
        <w:t>涉及</w:t>
      </w:r>
      <w:r>
        <w:rPr>
          <w:rFonts w:eastAsia="仿宋_GB2312"/>
          <w:sz w:val="32"/>
          <w:szCs w:val="32"/>
          <w:lang w:val="zh-CN"/>
        </w:rPr>
        <w:t>综合医疗提升</w:t>
      </w:r>
      <w:r>
        <w:rPr>
          <w:rFonts w:hint="eastAsia" w:eastAsia="仿宋_GB2312"/>
          <w:sz w:val="32"/>
          <w:szCs w:val="32"/>
          <w:lang w:val="zh-CN"/>
        </w:rPr>
        <w:t>及</w:t>
      </w:r>
      <w:r>
        <w:rPr>
          <w:rFonts w:eastAsia="仿宋_GB2312"/>
          <w:sz w:val="32"/>
          <w:szCs w:val="32"/>
          <w:lang w:val="zh-CN"/>
        </w:rPr>
        <w:t>中医药领域，无截留、挪用，支出进度与实施同步，100%支出完毕。</w:t>
      </w:r>
    </w:p>
    <w:p w14:paraId="56B90B24">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14:paraId="65A35F3A">
      <w:pPr>
        <w:adjustRightInd w:val="0"/>
        <w:snapToGrid w:val="0"/>
        <w:spacing w:line="600" w:lineRule="exact"/>
        <w:ind w:firstLine="720"/>
        <w:rPr>
          <w:rFonts w:eastAsia="仿宋_GB2312"/>
          <w:sz w:val="32"/>
          <w:szCs w:val="32"/>
          <w:lang w:val="zh-CN"/>
        </w:rPr>
      </w:pPr>
      <w:r>
        <w:rPr>
          <w:rFonts w:eastAsia="仿宋_GB2312"/>
          <w:sz w:val="32"/>
          <w:szCs w:val="32"/>
          <w:lang w:val="zh-CN"/>
        </w:rPr>
        <w:t>实施单位严格执行《医院财务制度》，专项均设专账核算，账务处理及时，报销需“三级审核”；会计科目按《2025年政府收支分类科目》设置，财务部门定期核查资金使用，管理规范。</w:t>
      </w:r>
    </w:p>
    <w:p w14:paraId="705A7A33">
      <w:pPr>
        <w:adjustRightInd w:val="0"/>
        <w:snapToGrid w:val="0"/>
        <w:spacing w:line="600" w:lineRule="exact"/>
        <w:ind w:firstLine="720"/>
        <w:rPr>
          <w:rFonts w:eastAsia="黑体"/>
          <w:sz w:val="32"/>
          <w:szCs w:val="32"/>
        </w:rPr>
      </w:pPr>
      <w:r>
        <w:rPr>
          <w:rFonts w:eastAsia="黑体"/>
          <w:sz w:val="32"/>
          <w:szCs w:val="32"/>
        </w:rPr>
        <w:t>三、项目实施及管理情况</w:t>
      </w:r>
    </w:p>
    <w:p w14:paraId="0ECAC4DC">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14:paraId="7ACFE6DE">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设立财政专项资金项目管理小组（包含财务、设备、采购、医务、护理等），由医务部牵头各科室做好项目工作的组织实施，在项目执行过程中收集整理项目管理及财务资料并妥善保存，以备检查和接受审计部门的审计。</w:t>
      </w:r>
    </w:p>
    <w:p w14:paraId="6A33E1B4">
      <w:pPr>
        <w:adjustRightInd w:val="0"/>
        <w:snapToGrid w:val="0"/>
        <w:spacing w:line="600" w:lineRule="exact"/>
        <w:ind w:firstLine="720"/>
        <w:rPr>
          <w:lang w:val="zh-CN"/>
        </w:rPr>
      </w:pPr>
      <w:r>
        <w:rPr>
          <w:rFonts w:hint="eastAsia" w:eastAsia="仿宋_GB2312"/>
          <w:sz w:val="32"/>
          <w:szCs w:val="32"/>
          <w:lang w:val="zh-CN"/>
        </w:rPr>
        <w:t>做好经费使用计划，按照计划推进落实，年底将具体工作形成工作报告，对实施效果进行综合评估，报攀枝花市卫健委、市中医药管理局。</w:t>
      </w:r>
    </w:p>
    <w:p w14:paraId="17BFB441">
      <w:pPr>
        <w:adjustRightInd w:val="0"/>
        <w:snapToGrid w:val="0"/>
        <w:spacing w:line="600" w:lineRule="exact"/>
        <w:ind w:firstLine="720"/>
        <w:rPr>
          <w:rFonts w:hint="eastAsia" w:eastAsia="仿宋_GB2312"/>
          <w:sz w:val="32"/>
          <w:szCs w:val="32"/>
          <w:lang w:val="zh-CN"/>
        </w:rPr>
      </w:pPr>
      <w:r>
        <w:rPr>
          <w:rFonts w:eastAsia="楷体_GB2312"/>
          <w:b/>
          <w:sz w:val="32"/>
          <w:szCs w:val="32"/>
          <w:lang w:val="zh-CN"/>
        </w:rPr>
        <w:t>（二）项目管理情况。</w:t>
      </w:r>
      <w:r>
        <w:rPr>
          <w:rFonts w:hint="eastAsia" w:eastAsia="仿宋_GB2312"/>
          <w:sz w:val="32"/>
          <w:szCs w:val="32"/>
          <w:lang w:val="zh-CN"/>
        </w:rPr>
        <w:t>项目实施全过程严格执行国家及省市相关法律法规、项目管理制度，管理规范、流程合规、全过程留痕。一是严格执行政府采购及招投标制度，项目中涉及的设备购置、服务采购等，凡达到招投标标准的，均通过公开招标、竞争性谈判等方式进行，未达到标准的通过询价等方式择优选择供应商，采购过程全程留痕；二是执行项目公示制度，项目资金额度、实施内容、实施进度、成效情况等接受社会监督；三是执行重大事项集体决策制度，项目实施中的重大问题、资金使用重大调整等，均经医院党委会、院长办公会集体研究决定；四是强化项目资料管理，安排专人负责收集、整理项目实施全过程资料，包括实施方案、工作台账、财务凭证、成效佐证等，做到资料完整、分类规范、归档及时。</w:t>
      </w:r>
    </w:p>
    <w:p w14:paraId="1BC599C9">
      <w:pPr>
        <w:adjustRightInd w:val="0"/>
        <w:snapToGrid w:val="0"/>
        <w:spacing w:line="600" w:lineRule="exact"/>
        <w:ind w:firstLine="720"/>
        <w:rPr>
          <w:rFonts w:hint="eastAsia" w:eastAsia="仿宋_GB2312"/>
          <w:sz w:val="32"/>
          <w:szCs w:val="32"/>
          <w:lang w:val="zh-CN"/>
        </w:rPr>
      </w:pPr>
      <w:r>
        <w:rPr>
          <w:rFonts w:eastAsia="楷体_GB2312"/>
          <w:b/>
          <w:sz w:val="32"/>
          <w:szCs w:val="32"/>
          <w:lang w:val="zh-CN"/>
        </w:rPr>
        <w:t>（三）项目监管情况。</w:t>
      </w:r>
      <w:r>
        <w:rPr>
          <w:rFonts w:hint="eastAsia" w:eastAsia="仿宋_GB2312"/>
          <w:sz w:val="32"/>
          <w:szCs w:val="32"/>
          <w:lang w:val="zh-CN"/>
        </w:rPr>
        <w:t>专项资金项目管理小组按照资金管理制度开展工作并规范报销，及时规范报销，严格审查报销情况。</w:t>
      </w:r>
    </w:p>
    <w:p w14:paraId="1FD6C735">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14:paraId="53708F4A">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14:paraId="69E3B298">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学科建设方面，2025年医院持续深化内涵建设，学科建设成果丰硕，核心竞争力显著提升。新增国家中医优势专科培育单位1个、省级中医优势专科4个、省级中西医协同“旗舰”科室3个、市级临床重点专科2个，眼科入选省级临床重点专科联盟单位，重点专科达60个、覆盖率超85%；医养中心6月成立即满负荷运转，相关案例获评省级优秀典型案例，组织修复与重建中心获批市级专病诊疗中心，4个专病实现常态化运行。同时深化大门诊建设，完成多科室就医环境改造、增设特色门诊，优化各类就医服务举措；新开展31项新技术新项目，引进高端医疗设备并开展81台骨科机器人手术，与顶尖机构组建专科联盟，上线智能就医系统，为学科发展筑牢技术与合作支撑。</w:t>
      </w:r>
    </w:p>
    <w:p w14:paraId="5D506405">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质控分中心工作方面，持续完善质控中心体系并强化全流程管控，筑牢医疗发展“生命线”。新增全科医学科市级质控分中心，完成16个市级质控中心的管理工作，全年开展12次质控督导、20次专题培训，培训500余人次，强化区域质控辐射引领作用；院内开展病历内涵质量提升专项行动，线上质控常态化机制逐步建立，累计质控749份病历、整改1317个问题。此外，临床路径管理率、完成率大幅提升，退出率下降，覆盖多个重点科室；健全围手术期多学科协作机制，开展18次专项质控检查，对高风险手术实施全过程监管，非计划再次发生率同比下降，医疗质量安全防线持续加固。</w:t>
      </w:r>
    </w:p>
    <w:p w14:paraId="7D174537">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整合型医疗卫生服务体系建设方面，设立临床技能培训基地，集团自上而下流动人员35人，自下而上流动68人，开展专项培训500余人次，集团成员单位新进人员、医疗（管理）骨干牵头医院轮岗培训率达95%。按照“一中心一特色”思路，牵头医院与基层医疗机构共建特色专科5个，推出“固定时间、固定地点、固定专家”的“三固”服务模式，常态化开设专家延伸门诊5个，建立“学科带头人驻点指导+骨干医生轮训+远程会诊常态化”等共建机制，帮助基层新增诊疗项目33项，平均收治病种从120项提升至164项，基层诊疗量增长13.3%，其中，成员单位银江镇卫生院成功创建中医区域医疗次中心。依托集团牵头医院搭建PACS、LIS、心电云、病理云，全面建成心电诊断、医学影像、临床检验、病理等资源共享中心，基层诊断数据上传后，最快30分钟内即可调阅打印上级诊断报告，真正实现“基层检查、上级诊断、结果互认”，运行以来，牵头医院已累计完成影像诊断2.1万例、心电诊断3.7万例，统一出具检验报告0.2万份，集团内基层医疗机构诊断准确率由92%提升到98%。</w:t>
      </w:r>
    </w:p>
    <w:p w14:paraId="5A7B07B8">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临床用血保障方面，截至2025年12月，项目任务100%完成且多项指标超额达成，专项资金100%合规支出，无结余、无违规。项目实现市域临床用血供应率100%、检测合格率100%、安全事故发生率0%、医疗机构用血规范率100%，开展用血培训3场次，实现用血相关从业人员培训全覆盖；资金全额用于用血储存设备维护、安全检测、专业培训、应急储备、无偿献血宣传等核心环节，严格执行专账核算与三级审核报销制度，使用合规高效。项目为区域中西医临床诊疗、手术救治筑牢用血安全防线，助力医院手术量稳步增长，完善了“供应－检测－使用－培训”一体化用血保障长效机制，医院也获评2025 年度攀枝花市无偿献血先进单位，对全市医疗机构及用血患者的综合服务满意度达98%以上。</w:t>
      </w:r>
    </w:p>
    <w:p w14:paraId="185C2A9A">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中西医协同发展方面。全年开展新技术新项目31项，如胸主动脉覆膜支架置入术、HYBRID复合手术、FUE技术微创治疗腋臭等。引进手术显微镜、眼科诊断仪、直线加速器、大孔径CT等设备，新开展骨科机器人手术81台。与北京积水潭医院等顶尖机构达成合作，组建5G+骨科机器人联盟、骨科专科联盟。上线人工智能医护助手、DeepSeek-AI就医助手等系统。进一步夯实重点学科建设的硬支撑与软实力，为医院高质量发展注入持续动能。</w:t>
      </w:r>
    </w:p>
    <w:p w14:paraId="5506132A">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便民惠民服务方面。深化大门诊内涵。完成儿科、眼科、超声科门诊就医环境改造，新设心康中心、体重管理中心特色门诊，推动多学科联合门诊深入开展。上线体检导诊系统，保障年度干部体检、征兵体检工作高质量完成。设立长者挂号、医保专区，动态增开潮汐门诊，完成日间化疗、日间中医系统升级，进一步提升门诊运行效率与患者就医便捷度，住院患者满意度达97.8%，同比上升2.2%。</w:t>
      </w:r>
    </w:p>
    <w:p w14:paraId="143456B6">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755868CE">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2025年攀枝花市中西医结合医院各项建设发展工作取得多元效益，在经济效益上，核心医疗业务量稳步增长，门诊、住院、手术量同比分别增长 2.</w:t>
      </w:r>
      <w:r>
        <w:rPr>
          <w:rFonts w:hint="eastAsia" w:eastAsia="仿宋_GB2312"/>
          <w:sz w:val="32"/>
          <w:szCs w:val="32"/>
          <w:lang w:val="en-US" w:eastAsia="zh-CN"/>
        </w:rPr>
        <w:t>1</w:t>
      </w:r>
      <w:r>
        <w:rPr>
          <w:rFonts w:hint="eastAsia" w:eastAsia="仿宋_GB2312"/>
          <w:sz w:val="32"/>
          <w:szCs w:val="32"/>
          <w:lang w:val="zh-CN"/>
        </w:rPr>
        <w:t>%、6.</w:t>
      </w:r>
      <w:r>
        <w:rPr>
          <w:rFonts w:hint="eastAsia" w:eastAsia="仿宋_GB2312"/>
          <w:sz w:val="32"/>
          <w:szCs w:val="32"/>
          <w:lang w:val="en-US" w:eastAsia="zh-CN"/>
        </w:rPr>
        <w:t>2</w:t>
      </w:r>
      <w:r>
        <w:rPr>
          <w:rFonts w:hint="eastAsia" w:eastAsia="仿宋_GB2312"/>
          <w:sz w:val="32"/>
          <w:szCs w:val="32"/>
          <w:lang w:val="zh-CN"/>
        </w:rPr>
        <w:t>%、8.</w:t>
      </w:r>
      <w:r>
        <w:rPr>
          <w:rFonts w:hint="eastAsia" w:eastAsia="仿宋_GB2312"/>
          <w:sz w:val="32"/>
          <w:szCs w:val="32"/>
          <w:lang w:val="en-US" w:eastAsia="zh-CN"/>
        </w:rPr>
        <w:t>1</w:t>
      </w:r>
      <w:r>
        <w:rPr>
          <w:rFonts w:hint="eastAsia" w:eastAsia="仿宋_GB2312"/>
          <w:sz w:val="32"/>
          <w:szCs w:val="32"/>
          <w:lang w:val="zh-CN"/>
        </w:rPr>
        <w:t>%，中药制剂产值达2514万元（同比增长 14.</w:t>
      </w:r>
      <w:r>
        <w:rPr>
          <w:rFonts w:hint="eastAsia" w:eastAsia="仿宋_GB2312"/>
          <w:sz w:val="32"/>
          <w:szCs w:val="32"/>
          <w:lang w:val="en-US" w:eastAsia="zh-CN"/>
        </w:rPr>
        <w:t>3</w:t>
      </w:r>
      <w:r>
        <w:rPr>
          <w:rFonts w:hint="eastAsia" w:eastAsia="仿宋_GB2312"/>
          <w:sz w:val="32"/>
          <w:szCs w:val="32"/>
          <w:lang w:val="zh-CN"/>
        </w:rPr>
        <w:t>%），同时通过精细化管理实现能耗、用药成本下降，资源配置效率提升；社会效益上，医院获评 “全国卫生健康系统先进集体”“全国文明单位” 等多项荣誉，医养中心、特色门诊等医疗服务持续提质，开展义诊、志愿服务等公益活动惠及群众上万人次，通过医联体、专科联盟等形式赋能基层医疗，带动炳三区社区卫生服务中心、银江镇卫生院等基层机构能力提升，筑牢区域公共卫生防线，法定传染病报告发病率同比下降18.1%，并深入推进中医药文化传播；在生态效益上，医院实现年度用水量同比下降，通过区域检验结果互认、远程医疗、互联网+医疗服务等模式减少资源浪费和就医碳排放，医疗废弃物规范处理，就医环境改造与中医药生态景观融合打造绿色医疗空间；在可持续效益上，新增国家、省级等各级重点专科/旗舰科室10个，重点专科覆盖率超85%，引进高层次人才31人并完善人才引育用留体系，医教研产协同发展成效显著，信息化建设通过互联互通四级甲等评审，现代医院管理体系持续优化，“融・和” 品牌影响力不断扩大，为医院长远发展夯实根基；在服务对象满意度上，住院患者满意度达97.8%（同比上升2.2%），通过设立长者专区、增开潮汐门诊、开通床旁即时结算等举措优化就医流程，护理质控平均得分 95.4%，患者就医便捷度和获得感显著提升。</w:t>
      </w:r>
    </w:p>
    <w:p w14:paraId="58843E81">
      <w:pPr>
        <w:adjustRightInd w:val="0"/>
        <w:snapToGrid w:val="0"/>
        <w:spacing w:line="600" w:lineRule="exact"/>
        <w:ind w:firstLine="720"/>
        <w:rPr>
          <w:rFonts w:eastAsia="黑体"/>
          <w:sz w:val="32"/>
          <w:szCs w:val="32"/>
        </w:rPr>
      </w:pPr>
      <w:r>
        <w:rPr>
          <w:rFonts w:eastAsia="黑体"/>
          <w:sz w:val="32"/>
          <w:szCs w:val="32"/>
        </w:rPr>
        <w:t>五、评价结论及建议</w:t>
      </w:r>
    </w:p>
    <w:p w14:paraId="04E0E3AF">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14:paraId="4F53495E">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项目目标达成程度高、实施过程规范、效益显著、创新性强。</w:t>
      </w:r>
    </w:p>
    <w:p w14:paraId="29623195">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14:paraId="166A9068">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r>
        <w:rPr>
          <w:rFonts w:eastAsia="仿宋_GB2312"/>
          <w:sz w:val="32"/>
          <w:szCs w:val="32"/>
          <w:lang w:val="zh-CN"/>
        </w:rPr>
        <w:tab/>
      </w:r>
    </w:p>
    <w:p w14:paraId="3888B23B">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14:paraId="71DD6A7A">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p>
    <w:p w14:paraId="278F3F90">
      <w:pPr>
        <w:spacing w:line="600" w:lineRule="exact"/>
        <w:jc w:val="center"/>
        <w:rPr>
          <w:rFonts w:eastAsia="方正小标宋简体"/>
          <w:sz w:val="40"/>
          <w:szCs w:val="40"/>
          <w:lang w:val="zh-CN"/>
        </w:rPr>
      </w:pPr>
    </w:p>
    <w:p w14:paraId="6AFBE4A6">
      <w:pPr>
        <w:spacing w:line="600" w:lineRule="exact"/>
        <w:jc w:val="center"/>
        <w:rPr>
          <w:rFonts w:eastAsia="方正小标宋简体"/>
          <w:sz w:val="40"/>
          <w:szCs w:val="40"/>
          <w:lang w:val="zh-CN"/>
        </w:rPr>
      </w:pPr>
    </w:p>
    <w:p w14:paraId="730A0ED2">
      <w:pPr>
        <w:spacing w:line="600" w:lineRule="exact"/>
        <w:jc w:val="center"/>
        <w:rPr>
          <w:rFonts w:eastAsia="方正小标宋简体"/>
          <w:sz w:val="40"/>
          <w:szCs w:val="40"/>
          <w:lang w:val="zh-CN"/>
        </w:rPr>
      </w:pPr>
    </w:p>
    <w:p w14:paraId="78666D92">
      <w:pPr>
        <w:spacing w:line="600" w:lineRule="exact"/>
        <w:jc w:val="center"/>
        <w:rPr>
          <w:rFonts w:eastAsia="方正小标宋简体"/>
          <w:sz w:val="40"/>
          <w:szCs w:val="40"/>
          <w:lang w:val="zh-CN"/>
        </w:rPr>
      </w:pPr>
    </w:p>
    <w:p w14:paraId="0CCCDF6C">
      <w:pPr>
        <w:spacing w:line="600" w:lineRule="exact"/>
        <w:jc w:val="center"/>
        <w:rPr>
          <w:rFonts w:eastAsia="方正小标宋简体"/>
          <w:sz w:val="40"/>
          <w:szCs w:val="40"/>
          <w:lang w:val="zh-CN"/>
        </w:rPr>
      </w:pPr>
    </w:p>
    <w:p w14:paraId="5276ABCB">
      <w:pPr>
        <w:spacing w:line="600" w:lineRule="exact"/>
        <w:jc w:val="center"/>
        <w:rPr>
          <w:rFonts w:eastAsia="方正小标宋简体"/>
          <w:sz w:val="40"/>
          <w:szCs w:val="40"/>
          <w:lang w:val="zh-CN"/>
        </w:rPr>
      </w:pPr>
    </w:p>
    <w:p w14:paraId="6E8B21A7">
      <w:pPr>
        <w:spacing w:line="600" w:lineRule="exact"/>
        <w:jc w:val="center"/>
        <w:rPr>
          <w:rFonts w:eastAsia="方正小标宋简体"/>
          <w:sz w:val="40"/>
          <w:szCs w:val="40"/>
          <w:lang w:val="zh-CN"/>
        </w:rPr>
      </w:pPr>
    </w:p>
    <w:p w14:paraId="09D49E70">
      <w:pPr>
        <w:spacing w:line="600" w:lineRule="exact"/>
        <w:jc w:val="center"/>
        <w:rPr>
          <w:rFonts w:eastAsia="方正小标宋简体"/>
          <w:sz w:val="40"/>
          <w:szCs w:val="40"/>
          <w:lang w:val="zh-CN"/>
        </w:rPr>
      </w:pPr>
    </w:p>
    <w:p w14:paraId="5E341CC2">
      <w:pPr>
        <w:spacing w:line="600" w:lineRule="exact"/>
        <w:jc w:val="center"/>
        <w:rPr>
          <w:rFonts w:eastAsia="方正小标宋简体"/>
          <w:sz w:val="40"/>
          <w:szCs w:val="40"/>
          <w:lang w:val="zh-CN"/>
        </w:rPr>
      </w:pPr>
    </w:p>
    <w:p w14:paraId="0643E738">
      <w:pPr>
        <w:spacing w:line="600" w:lineRule="exact"/>
        <w:jc w:val="center"/>
        <w:rPr>
          <w:rFonts w:eastAsia="方正小标宋简体"/>
          <w:sz w:val="40"/>
          <w:szCs w:val="40"/>
          <w:lang w:val="zh-CN"/>
        </w:rPr>
      </w:pPr>
    </w:p>
    <w:p w14:paraId="4F053DE0">
      <w:pPr>
        <w:spacing w:line="600" w:lineRule="exact"/>
        <w:jc w:val="center"/>
        <w:rPr>
          <w:rFonts w:eastAsia="方正小标宋简体"/>
          <w:sz w:val="40"/>
          <w:szCs w:val="40"/>
          <w:lang w:val="zh-CN"/>
        </w:rPr>
      </w:pPr>
    </w:p>
    <w:p w14:paraId="6D56BCCD">
      <w:pPr>
        <w:spacing w:line="600" w:lineRule="exact"/>
        <w:jc w:val="center"/>
        <w:rPr>
          <w:rFonts w:eastAsia="方正小标宋简体"/>
          <w:sz w:val="40"/>
          <w:szCs w:val="40"/>
          <w:lang w:val="zh-CN"/>
        </w:rPr>
      </w:pPr>
    </w:p>
    <w:p w14:paraId="6F036E4F">
      <w:pPr>
        <w:spacing w:line="600" w:lineRule="exact"/>
        <w:jc w:val="center"/>
        <w:rPr>
          <w:rFonts w:eastAsia="方正小标宋简体"/>
          <w:sz w:val="40"/>
          <w:szCs w:val="40"/>
          <w:lang w:val="zh-CN"/>
        </w:rPr>
      </w:pPr>
    </w:p>
    <w:p w14:paraId="75BEACF1">
      <w:pPr>
        <w:spacing w:line="600" w:lineRule="exact"/>
        <w:jc w:val="center"/>
        <w:rPr>
          <w:rFonts w:eastAsia="方正小标宋简体"/>
          <w:sz w:val="40"/>
          <w:szCs w:val="40"/>
          <w:lang w:val="zh-CN"/>
        </w:rPr>
      </w:pPr>
    </w:p>
    <w:p w14:paraId="42A510B9">
      <w:pPr>
        <w:spacing w:line="600" w:lineRule="exact"/>
        <w:jc w:val="center"/>
        <w:rPr>
          <w:rFonts w:eastAsia="方正小标宋简体"/>
          <w:sz w:val="40"/>
          <w:szCs w:val="40"/>
          <w:lang w:val="zh-CN"/>
        </w:rPr>
      </w:pPr>
    </w:p>
    <w:p w14:paraId="0C46BA9B">
      <w:pPr>
        <w:spacing w:line="600" w:lineRule="exact"/>
        <w:jc w:val="center"/>
        <w:rPr>
          <w:rFonts w:eastAsia="方正小标宋简体"/>
          <w:sz w:val="40"/>
          <w:szCs w:val="40"/>
          <w:lang w:val="zh-CN"/>
        </w:rPr>
      </w:pPr>
    </w:p>
    <w:p w14:paraId="7363C1CD">
      <w:pPr>
        <w:spacing w:line="600" w:lineRule="exact"/>
        <w:jc w:val="center"/>
        <w:rPr>
          <w:rFonts w:hint="eastAsia" w:eastAsia="方正小标宋简体"/>
          <w:sz w:val="40"/>
          <w:szCs w:val="40"/>
          <w:lang w:val="zh-CN"/>
        </w:rPr>
      </w:pPr>
      <w:r>
        <w:rPr>
          <w:rFonts w:hint="eastAsia" w:eastAsia="方正小标宋简体"/>
          <w:sz w:val="40"/>
          <w:szCs w:val="40"/>
          <w:lang w:val="zh-CN"/>
        </w:rPr>
        <w:t>四川省攀枝花市中西医结合医院</w:t>
      </w:r>
    </w:p>
    <w:p w14:paraId="3435144E">
      <w:pPr>
        <w:spacing w:line="600" w:lineRule="exact"/>
        <w:jc w:val="center"/>
        <w:rPr>
          <w:rFonts w:eastAsia="方正小标宋简体"/>
          <w:sz w:val="40"/>
          <w:szCs w:val="40"/>
          <w:lang w:val="zh-CN"/>
        </w:rPr>
      </w:pPr>
      <w:r>
        <w:rPr>
          <w:rFonts w:hint="eastAsia" w:eastAsia="方正小标宋简体"/>
          <w:sz w:val="40"/>
          <w:szCs w:val="40"/>
          <w:lang w:val="zh-CN"/>
        </w:rPr>
        <w:t>医疗服务与保障能力提升（卫生健康人才培养培训）省级项目</w:t>
      </w:r>
      <w:r>
        <w:rPr>
          <w:rFonts w:eastAsia="方正小标宋简体"/>
          <w:sz w:val="40"/>
          <w:szCs w:val="40"/>
          <w:lang w:val="zh-CN"/>
        </w:rPr>
        <w:t>专项预算项目支出绩效自评报告</w:t>
      </w:r>
    </w:p>
    <w:p w14:paraId="3DA40CAD">
      <w:pPr>
        <w:spacing w:line="600" w:lineRule="exact"/>
        <w:ind w:firstLine="640"/>
        <w:jc w:val="center"/>
        <w:rPr>
          <w:sz w:val="32"/>
          <w:szCs w:val="32"/>
          <w:lang w:val="zh-CN"/>
        </w:rPr>
      </w:pPr>
    </w:p>
    <w:p w14:paraId="4B502FB8">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14:paraId="06ADE9DD">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14:paraId="308966F8">
      <w:pPr>
        <w:spacing w:line="600" w:lineRule="exact"/>
        <w:ind w:firstLine="640" w:firstLineChars="200"/>
        <w:rPr>
          <w:rFonts w:ascii="方正仿宋_GB2312" w:hAnsi="方正仿宋_GB2312" w:eastAsia="方正仿宋_GB2312" w:cs="方正仿宋_GB2312"/>
          <w:sz w:val="32"/>
          <w:szCs w:val="32"/>
        </w:rPr>
      </w:pPr>
      <w:r>
        <w:rPr>
          <w:rFonts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项目主管部门职能  </w:t>
      </w:r>
    </w:p>
    <w:p w14:paraId="34D20E90">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作为住院医师规范化培训（以下简称“住培”）项目的主管部门，负责制定住培政策、统筹资金分配、监督项目实施，并对培训效果进行评估，确保培训质量和资金使用效益。</w:t>
      </w:r>
    </w:p>
    <w:p w14:paraId="0DF4098A">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项目立项及资金申报依据  </w:t>
      </w:r>
    </w:p>
    <w:p w14:paraId="58A160EF">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项目依据国家卫生健康委《关于建立住院医师规范化培训制度的指导意见》（国卫科教发〔2013〕56号）及财政部相关预算管理要求立项，旨在通过专项预算支持住院医师规范化培训，提升临床医师队伍整体素质。</w:t>
      </w:r>
    </w:p>
    <w:p w14:paraId="60D56AB3">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3. 资</w:t>
      </w:r>
      <w:r>
        <w:rPr>
          <w:rFonts w:hint="eastAsia" w:ascii="方正仿宋_GB2312" w:hAnsi="方正仿宋_GB2312" w:eastAsia="方正仿宋_GB2312" w:cs="方正仿宋_GB2312"/>
          <w:sz w:val="32"/>
          <w:szCs w:val="32"/>
        </w:rPr>
        <w:t xml:space="preserve">金管理办法及支持方式  </w:t>
      </w:r>
    </w:p>
    <w:p w14:paraId="7B2DECB8">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该资金将按照专项资金使用管理和预算计划进行使用，确保项目的顺利实施。</w:t>
      </w:r>
    </w:p>
    <w:p w14:paraId="4C44B436">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4. </w:t>
      </w:r>
      <w:r>
        <w:rPr>
          <w:rFonts w:hint="eastAsia" w:ascii="方正仿宋_GB2312" w:hAnsi="方正仿宋_GB2312" w:eastAsia="方正仿宋_GB2312" w:cs="方正仿宋_GB2312"/>
          <w:sz w:val="32"/>
          <w:szCs w:val="32"/>
        </w:rPr>
        <w:t xml:space="preserve">资金分配原则及因素  </w:t>
      </w:r>
    </w:p>
    <w:p w14:paraId="41B97F54">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资金分配以培训人数和培训质量为核心因素，确保资金分配的公平性和有效性。全部用于学员补助，按相应标准将补助发放到学员</w:t>
      </w:r>
      <w:r>
        <w:rPr>
          <w:rFonts w:hint="eastAsia" w:ascii="方正仿宋_GB2312" w:hAnsi="方正仿宋_GB2312" w:eastAsia="方正仿宋_GB2312" w:cs="方正仿宋_GB2312"/>
          <w:sz w:val="32"/>
          <w:szCs w:val="32"/>
          <w:lang w:eastAsia="zh-CN"/>
        </w:rPr>
        <w:t>个人账户</w:t>
      </w:r>
      <w:r>
        <w:rPr>
          <w:rFonts w:hint="eastAsia" w:ascii="方正仿宋_GB2312" w:hAnsi="方正仿宋_GB2312" w:eastAsia="方正仿宋_GB2312" w:cs="方正仿宋_GB2312"/>
          <w:sz w:val="32"/>
          <w:szCs w:val="32"/>
        </w:rPr>
        <w:t>。</w:t>
      </w:r>
    </w:p>
    <w:p w14:paraId="09DFADDD">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14:paraId="4E3ED28F">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项目主要内容  </w:t>
      </w:r>
    </w:p>
    <w:p w14:paraId="227DD7D4">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本项目旨在通过专项预算支持住培工作。</w:t>
      </w:r>
    </w:p>
    <w:p w14:paraId="4056094A">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具体绩效目标  </w:t>
      </w:r>
    </w:p>
    <w:p w14:paraId="0783B62B">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数量目标：培训住院医师152人（2022级-2024级学员），覆盖14个专业基地。  </w:t>
      </w:r>
    </w:p>
    <w:p w14:paraId="44E59ABB">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质量目标：结业考核通过率达到95%以上。  </w:t>
      </w:r>
    </w:p>
    <w:p w14:paraId="26E00CF4">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时效目标：2025年内完成培训任务。  </w:t>
      </w:r>
    </w:p>
    <w:p w14:paraId="736FB7A4">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成本目标：人均经费控制在0.66万元。  </w:t>
      </w:r>
    </w:p>
    <w:p w14:paraId="0C2B5141">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效益目标：提升培训基地的教学能力和学员的临床综合技能，服务对象满意度达到95%及以上。</w:t>
      </w:r>
    </w:p>
    <w:p w14:paraId="249BC5A1">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3. </w:t>
      </w:r>
      <w:r>
        <w:rPr>
          <w:rFonts w:hint="eastAsia" w:ascii="方正仿宋_GB2312" w:hAnsi="方正仿宋_GB2312" w:eastAsia="方正仿宋_GB2312" w:cs="方正仿宋_GB2312"/>
          <w:sz w:val="32"/>
          <w:szCs w:val="32"/>
        </w:rPr>
        <w:t xml:space="preserve">申报内容与实际相符性  </w:t>
      </w:r>
    </w:p>
    <w:p w14:paraId="59FA040A">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申报内容与实际实施情况基本相符，目标设定合理可行，符合国家住培政策要求。</w:t>
      </w:r>
    </w:p>
    <w:p w14:paraId="678F2417">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6166E9A3">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组织实施步骤  </w:t>
      </w:r>
    </w:p>
    <w:p w14:paraId="5875C919">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收集整理项目相关资料，包括资金使用凭证、培训记录、考核结果等。  </w:t>
      </w:r>
    </w:p>
    <w:p w14:paraId="1EF2DCD6">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开展实地调研，了解项目实施情况及存在问题。  </w:t>
      </w:r>
    </w:p>
    <w:p w14:paraId="00D770E4">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综合分析数据，撰写自评报告。</w:t>
      </w:r>
    </w:p>
    <w:p w14:paraId="60AD6FFA">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自评方法  </w:t>
      </w:r>
    </w:p>
    <w:p w14:paraId="4DAFE138">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采用定量与定性相结合的方法，通过数据统计、现场检查等方式，全面评估项目绩效。</w:t>
      </w:r>
    </w:p>
    <w:p w14:paraId="3C8F4271">
      <w:pPr>
        <w:adjustRightInd w:val="0"/>
        <w:snapToGrid w:val="0"/>
        <w:spacing w:line="600" w:lineRule="exact"/>
        <w:ind w:firstLine="720"/>
        <w:rPr>
          <w:rFonts w:eastAsia="黑体"/>
          <w:sz w:val="32"/>
          <w:szCs w:val="32"/>
        </w:rPr>
      </w:pPr>
      <w:r>
        <w:rPr>
          <w:rFonts w:eastAsia="黑体"/>
          <w:sz w:val="32"/>
          <w:szCs w:val="32"/>
        </w:rPr>
        <w:t>二、项目资金申报及使用情况</w:t>
      </w:r>
    </w:p>
    <w:p w14:paraId="7C1813B9">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14:paraId="61969DE2">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资金申报程序  </w:t>
      </w:r>
    </w:p>
    <w:p w14:paraId="24AC09BA">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2025年，根据住培需求编制预算，向财政部申报中央专项预算资金100.32万元，全部用于学员补助。</w:t>
      </w:r>
    </w:p>
    <w:p w14:paraId="13A0463E">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资金批复情况  </w:t>
      </w:r>
    </w:p>
    <w:p w14:paraId="7A81A506">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财政部批复预算资金99.42万元（扣除医院绩效0.9万元），资金已全部下达至医院。</w:t>
      </w:r>
    </w:p>
    <w:p w14:paraId="5CE630F5">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14:paraId="00EFF6C2">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资金计划。省级财政资金：99.42万元。  </w:t>
      </w:r>
    </w:p>
    <w:p w14:paraId="118AC22D">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资金到位。省级财政资金99.42万元已全部到位，到位率为100%。</w:t>
      </w:r>
    </w:p>
    <w:p w14:paraId="59AE1D57">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3. </w:t>
      </w:r>
      <w:r>
        <w:rPr>
          <w:rFonts w:hint="eastAsia" w:ascii="方正仿宋_GB2312" w:hAnsi="方正仿宋_GB2312" w:eastAsia="方正仿宋_GB2312" w:cs="方正仿宋_GB2312"/>
          <w:sz w:val="32"/>
          <w:szCs w:val="32"/>
        </w:rPr>
        <w:t xml:space="preserve">资金使用。学员生活补助：99.385万元（占总支出99.9%，因退培学员按月发放后结余0.035万元）。  </w:t>
      </w:r>
    </w:p>
    <w:p w14:paraId="2112687D">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资金使用严格遵守财务管理制度，支付范围、标准及进度符合预算要求。</w:t>
      </w:r>
    </w:p>
    <w:p w14:paraId="5F3B83CB">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14:paraId="1A8607F9">
      <w:pPr>
        <w:spacing w:line="600" w:lineRule="exact"/>
        <w:ind w:firstLine="640" w:firstLineChars="200"/>
        <w:rPr>
          <w:rFonts w:eastAsia="仿宋_GB2312"/>
          <w:sz w:val="32"/>
          <w:szCs w:val="32"/>
          <w:lang w:val="zh-CN"/>
        </w:rPr>
      </w:pPr>
      <w:r>
        <w:rPr>
          <w:rFonts w:hint="eastAsia" w:ascii="方正仿宋_GB2312" w:hAnsi="方正仿宋_GB2312" w:eastAsia="方正仿宋_GB2312" w:cs="方正仿宋_GB2312"/>
          <w:sz w:val="32"/>
          <w:szCs w:val="32"/>
        </w:rPr>
        <w:t>培训基地财务管理制度健全，资金使用规范，账务处理及时，未发现违规使用资金的情况。</w:t>
      </w:r>
    </w:p>
    <w:p w14:paraId="67250EC5">
      <w:pPr>
        <w:adjustRightInd w:val="0"/>
        <w:snapToGrid w:val="0"/>
        <w:spacing w:line="600" w:lineRule="exact"/>
        <w:ind w:firstLine="720"/>
        <w:rPr>
          <w:rFonts w:eastAsia="黑体"/>
          <w:sz w:val="32"/>
          <w:szCs w:val="32"/>
        </w:rPr>
      </w:pPr>
      <w:r>
        <w:rPr>
          <w:rFonts w:eastAsia="黑体"/>
          <w:sz w:val="32"/>
          <w:szCs w:val="32"/>
        </w:rPr>
        <w:t>三、项目实施及管理情况</w:t>
      </w:r>
    </w:p>
    <w:p w14:paraId="17D2592F">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14:paraId="687742F4">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组织架构  </w:t>
      </w:r>
    </w:p>
    <w:p w14:paraId="30403C21">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成立住培项目管理办公室，负责项目统筹协调；培训基地设立住培管理部门，具体负责培训实施。</w:t>
      </w:r>
    </w:p>
    <w:p w14:paraId="116642F9">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 实</w:t>
      </w:r>
      <w:r>
        <w:rPr>
          <w:rFonts w:hint="eastAsia" w:ascii="方正仿宋_GB2312" w:hAnsi="方正仿宋_GB2312" w:eastAsia="方正仿宋_GB2312" w:cs="方正仿宋_GB2312"/>
          <w:sz w:val="32"/>
          <w:szCs w:val="32"/>
        </w:rPr>
        <w:t xml:space="preserve">施流程  </w:t>
      </w:r>
    </w:p>
    <w:p w14:paraId="20AC8DF1">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制定培训计划，明确培训目标和内容。  </w:t>
      </w:r>
    </w:p>
    <w:p w14:paraId="27FAF090">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组织学员招录，确保公平公正。  </w:t>
      </w:r>
    </w:p>
    <w:p w14:paraId="1C4C493A">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开展临床实践和综合培训，定期考核评估。  </w:t>
      </w:r>
    </w:p>
    <w:p w14:paraId="58EDF131">
      <w:pPr>
        <w:spacing w:line="600" w:lineRule="exact"/>
        <w:ind w:firstLine="640" w:firstLineChars="200"/>
        <w:rPr>
          <w:lang w:val="zh-CN"/>
        </w:rPr>
      </w:pPr>
      <w:r>
        <w:rPr>
          <w:rFonts w:hint="eastAsia" w:ascii="方正仿宋_GB2312" w:hAnsi="方正仿宋_GB2312" w:eastAsia="方正仿宋_GB2312" w:cs="方正仿宋_GB2312"/>
          <w:sz w:val="32"/>
          <w:szCs w:val="32"/>
        </w:rPr>
        <w:t xml:space="preserve">   - 汇总培训数据，提交绩效报告。</w:t>
      </w:r>
    </w:p>
    <w:p w14:paraId="11B92A9B">
      <w:pPr>
        <w:numPr>
          <w:ilvl w:val="0"/>
          <w:numId w:val="2"/>
        </w:numPr>
        <w:spacing w:line="600" w:lineRule="exact"/>
        <w:ind w:left="0" w:leftChars="0" w:firstLine="720" w:firstLineChars="0"/>
        <w:rPr>
          <w:rFonts w:eastAsia="楷体_GB2312"/>
          <w:b/>
          <w:sz w:val="32"/>
          <w:szCs w:val="32"/>
          <w:lang w:val="zh-CN"/>
        </w:rPr>
      </w:pPr>
      <w:r>
        <w:rPr>
          <w:rFonts w:eastAsia="楷体_GB2312"/>
          <w:b/>
          <w:sz w:val="32"/>
          <w:szCs w:val="32"/>
          <w:lang w:val="zh-CN"/>
        </w:rPr>
        <w:t>项目管理情况。</w:t>
      </w:r>
    </w:p>
    <w:p w14:paraId="786EE6AB">
      <w:pPr>
        <w:numPr>
          <w:ilvl w:val="0"/>
          <w:numId w:val="0"/>
        </w:num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制度执行情况  </w:t>
      </w:r>
    </w:p>
    <w:p w14:paraId="77F45B50">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严格按照相关制度执行，确保项目实施的公开透明。</w:t>
      </w:r>
    </w:p>
    <w:p w14:paraId="24C539E5">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培训管理  </w:t>
      </w:r>
    </w:p>
    <w:p w14:paraId="6CD165E8">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培训基地严格执行住培细则，确保培训质量和学员安全。</w:t>
      </w:r>
    </w:p>
    <w:p w14:paraId="513B2187">
      <w:pPr>
        <w:numPr>
          <w:ilvl w:val="0"/>
          <w:numId w:val="2"/>
        </w:numPr>
        <w:spacing w:line="600" w:lineRule="exact"/>
        <w:ind w:left="0" w:leftChars="0" w:firstLine="720" w:firstLineChars="0"/>
        <w:rPr>
          <w:rFonts w:eastAsia="楷体_GB2312"/>
          <w:b/>
          <w:sz w:val="32"/>
          <w:szCs w:val="32"/>
          <w:lang w:val="zh-CN"/>
        </w:rPr>
      </w:pPr>
      <w:r>
        <w:rPr>
          <w:rFonts w:eastAsia="楷体_GB2312"/>
          <w:b/>
          <w:sz w:val="32"/>
          <w:szCs w:val="32"/>
          <w:lang w:val="zh-CN"/>
        </w:rPr>
        <w:t>项目监管情况。</w:t>
      </w:r>
    </w:p>
    <w:p w14:paraId="5D6C979A">
      <w:pPr>
        <w:numPr>
          <w:ilvl w:val="0"/>
          <w:numId w:val="0"/>
        </w:numPr>
        <w:spacing w:line="600" w:lineRule="exact"/>
        <w:ind w:left="720" w:leftChars="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监管手段  </w:t>
      </w:r>
    </w:p>
    <w:p w14:paraId="02B367BA">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通过定期检查、不定期抽查等方式，加强对项目实施的监管。</w:t>
      </w:r>
    </w:p>
    <w:p w14:paraId="3F89046F">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监管效果  </w:t>
      </w:r>
    </w:p>
    <w:p w14:paraId="5A2D8C84">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项目实施总体规范，未发现重大违规行为。</w:t>
      </w:r>
    </w:p>
    <w:p w14:paraId="70753006">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14:paraId="233EA25C">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14:paraId="7D1BED0B">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数量目标  </w:t>
      </w:r>
    </w:p>
    <w:p w14:paraId="63EA6FF3">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培训住院医师149人（退培3人），完成率98%。  </w:t>
      </w:r>
    </w:p>
    <w:p w14:paraId="02A89872">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培训基地覆盖14个专业基地，完成率100%。</w:t>
      </w:r>
    </w:p>
    <w:p w14:paraId="7DB013B7">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质量目标  </w:t>
      </w:r>
    </w:p>
    <w:p w14:paraId="09F2BE66">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 结业考核通过率97%，超过目标值2个百分点。  </w:t>
      </w:r>
    </w:p>
    <w:p w14:paraId="0D8E1CEB">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3. </w:t>
      </w:r>
      <w:r>
        <w:rPr>
          <w:rFonts w:hint="eastAsia" w:ascii="方正仿宋_GB2312" w:hAnsi="方正仿宋_GB2312" w:eastAsia="方正仿宋_GB2312" w:cs="方正仿宋_GB2312"/>
          <w:sz w:val="32"/>
          <w:szCs w:val="32"/>
        </w:rPr>
        <w:t xml:space="preserve">时效目标  </w:t>
      </w:r>
    </w:p>
    <w:p w14:paraId="2C674F69">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全年培训任务按时完成，无延误情况。</w:t>
      </w:r>
    </w:p>
    <w:p w14:paraId="75493817">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4. </w:t>
      </w:r>
      <w:r>
        <w:rPr>
          <w:rFonts w:hint="eastAsia" w:ascii="方正仿宋_GB2312" w:hAnsi="方正仿宋_GB2312" w:eastAsia="方正仿宋_GB2312" w:cs="方正仿宋_GB2312"/>
          <w:sz w:val="32"/>
          <w:szCs w:val="32"/>
        </w:rPr>
        <w:t xml:space="preserve">成本目标  </w:t>
      </w:r>
    </w:p>
    <w:p w14:paraId="7CC89BAD">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人均经费0.66万元，控制在预算范围内。</w:t>
      </w:r>
    </w:p>
    <w:p w14:paraId="7E3B5E55">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12A608F8">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社会效益  </w:t>
      </w:r>
    </w:p>
    <w:p w14:paraId="3D5789B4">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通过住培项目的实施，提升了临床医师队伍整体素质，为医疗卫生事业发展提供了人才保障。</w:t>
      </w:r>
    </w:p>
    <w:p w14:paraId="33BB8B7A">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服务对象满意度  </w:t>
      </w:r>
    </w:p>
    <w:p w14:paraId="33D5E097">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学员满意度调查结果显示，满意度达到95%，达到目标值。</w:t>
      </w:r>
    </w:p>
    <w:p w14:paraId="4875B1BC">
      <w:pPr>
        <w:adjustRightInd w:val="0"/>
        <w:snapToGrid w:val="0"/>
        <w:spacing w:line="600" w:lineRule="exact"/>
        <w:ind w:firstLine="720"/>
        <w:rPr>
          <w:rFonts w:eastAsia="黑体"/>
          <w:sz w:val="32"/>
          <w:szCs w:val="32"/>
        </w:rPr>
      </w:pPr>
      <w:r>
        <w:rPr>
          <w:rFonts w:eastAsia="黑体"/>
          <w:sz w:val="32"/>
          <w:szCs w:val="32"/>
        </w:rPr>
        <w:t>五、评价结论及建议</w:t>
      </w:r>
    </w:p>
    <w:p w14:paraId="12D93CC2">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14:paraId="61AC8B3E">
      <w:pPr>
        <w:adjustRightInd w:val="0"/>
        <w:snapToGrid w:val="0"/>
        <w:spacing w:line="600" w:lineRule="exact"/>
        <w:ind w:firstLine="640" w:firstLineChars="200"/>
        <w:rPr>
          <w:rFonts w:eastAsia="仿宋_GB2312"/>
          <w:sz w:val="32"/>
          <w:szCs w:val="32"/>
          <w:bdr w:val="single" w:color="auto" w:sz="4" w:space="0"/>
          <w:lang w:val="zh-CN"/>
        </w:rPr>
      </w:pPr>
      <w:r>
        <w:rPr>
          <w:rFonts w:hint="eastAsia" w:ascii="方正仿宋_GB2312" w:hAnsi="方正仿宋_GB2312" w:eastAsia="方正仿宋_GB2312" w:cs="方正仿宋_GB2312"/>
          <w:sz w:val="32"/>
          <w:szCs w:val="32"/>
        </w:rPr>
        <w:t>本项目总体执行情况良好，资金使用规范，培训目标基本实现，社会效益显著。</w:t>
      </w:r>
    </w:p>
    <w:p w14:paraId="38F4765F">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14:paraId="05787B4A">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 培训资源分布不均  </w:t>
      </w:r>
    </w:p>
    <w:p w14:paraId="7A595B53">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培训基地教学资源相对匮乏，影响培训质量。</w:t>
      </w:r>
    </w:p>
    <w:p w14:paraId="7DDF5886">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学员流动性较大  </w:t>
      </w:r>
    </w:p>
    <w:p w14:paraId="64DB384B">
      <w:pPr>
        <w:spacing w:line="600" w:lineRule="exact"/>
        <w:ind w:firstLine="640" w:firstLineChars="200"/>
        <w:rPr>
          <w:rFonts w:eastAsia="仿宋_GB2312"/>
          <w:sz w:val="32"/>
          <w:szCs w:val="32"/>
          <w:lang w:val="zh-CN"/>
        </w:rPr>
      </w:pPr>
      <w:r>
        <w:rPr>
          <w:rFonts w:hint="eastAsia" w:ascii="方正仿宋_GB2312" w:hAnsi="方正仿宋_GB2312" w:eastAsia="方正仿宋_GB2312" w:cs="方正仿宋_GB2312"/>
          <w:sz w:val="32"/>
          <w:szCs w:val="32"/>
        </w:rPr>
        <w:t>部分学员因个人原因中途退出，影响培训效果。</w:t>
      </w:r>
      <w:r>
        <w:rPr>
          <w:rFonts w:eastAsia="仿宋_GB2312"/>
          <w:sz w:val="32"/>
          <w:szCs w:val="32"/>
          <w:lang w:val="zh-CN"/>
        </w:rPr>
        <w:tab/>
      </w:r>
    </w:p>
    <w:p w14:paraId="18AC8695">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14:paraId="03D54A0B">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1. </w:t>
      </w:r>
      <w:r>
        <w:rPr>
          <w:rFonts w:hint="eastAsia" w:ascii="方正仿宋_GB2312" w:hAnsi="方正仿宋_GB2312" w:eastAsia="方正仿宋_GB2312" w:cs="方正仿宋_GB2312"/>
          <w:sz w:val="32"/>
          <w:szCs w:val="32"/>
        </w:rPr>
        <w:t xml:space="preserve">加强培训基地建设  </w:t>
      </w:r>
    </w:p>
    <w:p w14:paraId="694FC295">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加大对资源匮乏地区的支持力度，提升培训基地整体水平。</w:t>
      </w:r>
    </w:p>
    <w:p w14:paraId="667B4B4C">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 xml:space="preserve">2. </w:t>
      </w:r>
      <w:r>
        <w:rPr>
          <w:rFonts w:hint="eastAsia" w:ascii="方正仿宋_GB2312" w:hAnsi="方正仿宋_GB2312" w:eastAsia="方正仿宋_GB2312" w:cs="方正仿宋_GB2312"/>
          <w:sz w:val="32"/>
          <w:szCs w:val="32"/>
        </w:rPr>
        <w:t xml:space="preserve">完善学员管理机制  </w:t>
      </w:r>
    </w:p>
    <w:p w14:paraId="73592762">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建立学员退出补偿机制，减少因学员流失带来的影响。</w:t>
      </w:r>
    </w:p>
    <w:p w14:paraId="53E6496A">
      <w:pPr>
        <w:spacing w:line="600" w:lineRule="exact"/>
        <w:jc w:val="center"/>
        <w:rPr>
          <w:rFonts w:eastAsia="方正小标宋简体"/>
          <w:sz w:val="40"/>
          <w:szCs w:val="40"/>
          <w:lang w:val="zh-CN"/>
        </w:rPr>
      </w:pPr>
    </w:p>
    <w:p w14:paraId="66014905">
      <w:pPr>
        <w:spacing w:line="600" w:lineRule="exact"/>
        <w:jc w:val="center"/>
        <w:rPr>
          <w:rFonts w:eastAsia="方正小标宋简体"/>
          <w:sz w:val="40"/>
          <w:szCs w:val="40"/>
          <w:lang w:val="zh-CN"/>
        </w:rPr>
      </w:pPr>
    </w:p>
    <w:p w14:paraId="4C9A1555">
      <w:pPr>
        <w:spacing w:line="600" w:lineRule="exact"/>
        <w:jc w:val="center"/>
        <w:rPr>
          <w:rFonts w:eastAsia="方正小标宋简体"/>
          <w:sz w:val="40"/>
          <w:szCs w:val="40"/>
          <w:lang w:val="zh-CN"/>
        </w:rPr>
      </w:pPr>
    </w:p>
    <w:p w14:paraId="59F421B1">
      <w:pPr>
        <w:spacing w:line="600" w:lineRule="exact"/>
        <w:jc w:val="center"/>
        <w:rPr>
          <w:rFonts w:eastAsia="方正小标宋简体"/>
          <w:sz w:val="40"/>
          <w:szCs w:val="40"/>
          <w:lang w:val="zh-CN"/>
        </w:rPr>
      </w:pPr>
    </w:p>
    <w:p w14:paraId="36EB693F">
      <w:pPr>
        <w:spacing w:line="600" w:lineRule="exact"/>
        <w:jc w:val="center"/>
        <w:rPr>
          <w:rFonts w:eastAsia="方正小标宋简体"/>
          <w:sz w:val="40"/>
          <w:szCs w:val="40"/>
          <w:lang w:val="zh-CN"/>
        </w:rPr>
      </w:pPr>
    </w:p>
    <w:p w14:paraId="5F6BCFCC">
      <w:pPr>
        <w:spacing w:line="600" w:lineRule="exact"/>
        <w:jc w:val="center"/>
        <w:rPr>
          <w:rFonts w:eastAsia="方正小标宋简体"/>
          <w:sz w:val="40"/>
          <w:szCs w:val="40"/>
          <w:lang w:val="zh-CN"/>
        </w:rPr>
      </w:pPr>
    </w:p>
    <w:p w14:paraId="54540428">
      <w:pPr>
        <w:spacing w:line="600" w:lineRule="exact"/>
        <w:jc w:val="center"/>
        <w:rPr>
          <w:rFonts w:eastAsia="方正小标宋简体"/>
          <w:sz w:val="40"/>
          <w:szCs w:val="40"/>
          <w:lang w:val="zh-CN"/>
        </w:rPr>
      </w:pPr>
    </w:p>
    <w:p w14:paraId="0A93EB80">
      <w:pPr>
        <w:spacing w:line="600" w:lineRule="exact"/>
        <w:jc w:val="center"/>
        <w:rPr>
          <w:rFonts w:eastAsia="方正小标宋简体"/>
          <w:sz w:val="40"/>
          <w:szCs w:val="40"/>
          <w:lang w:val="zh-CN"/>
        </w:rPr>
      </w:pPr>
    </w:p>
    <w:p w14:paraId="32396786">
      <w:pPr>
        <w:spacing w:line="600" w:lineRule="exact"/>
        <w:jc w:val="center"/>
        <w:rPr>
          <w:rFonts w:eastAsia="方正小标宋简体"/>
          <w:sz w:val="40"/>
          <w:szCs w:val="40"/>
          <w:lang w:val="zh-CN"/>
        </w:rPr>
      </w:pPr>
    </w:p>
    <w:p w14:paraId="57CFA3B4">
      <w:pPr>
        <w:spacing w:line="600" w:lineRule="exact"/>
        <w:jc w:val="center"/>
        <w:rPr>
          <w:rFonts w:eastAsia="方正小标宋简体"/>
          <w:sz w:val="40"/>
          <w:szCs w:val="40"/>
          <w:lang w:val="zh-CN"/>
        </w:rPr>
      </w:pPr>
    </w:p>
    <w:p w14:paraId="5839D29C">
      <w:pPr>
        <w:spacing w:line="600" w:lineRule="exact"/>
        <w:jc w:val="center"/>
        <w:rPr>
          <w:rFonts w:eastAsia="方正小标宋简体"/>
          <w:sz w:val="40"/>
          <w:szCs w:val="40"/>
          <w:lang w:val="zh-CN"/>
        </w:rPr>
      </w:pPr>
    </w:p>
    <w:p w14:paraId="56780AF6">
      <w:pPr>
        <w:spacing w:line="600" w:lineRule="exact"/>
        <w:jc w:val="center"/>
        <w:rPr>
          <w:rFonts w:eastAsia="方正小标宋简体"/>
          <w:sz w:val="40"/>
          <w:szCs w:val="40"/>
          <w:lang w:val="zh-CN"/>
        </w:rPr>
      </w:pPr>
    </w:p>
    <w:p w14:paraId="3ECB88BF">
      <w:pPr>
        <w:spacing w:line="600" w:lineRule="exact"/>
        <w:jc w:val="center"/>
        <w:rPr>
          <w:rFonts w:eastAsia="方正小标宋简体"/>
          <w:sz w:val="40"/>
          <w:szCs w:val="40"/>
          <w:lang w:val="zh-CN"/>
        </w:rPr>
      </w:pPr>
    </w:p>
    <w:p w14:paraId="64529CE4">
      <w:pPr>
        <w:spacing w:line="600" w:lineRule="exact"/>
        <w:jc w:val="center"/>
        <w:rPr>
          <w:rFonts w:eastAsia="方正小标宋简体"/>
          <w:sz w:val="40"/>
          <w:szCs w:val="40"/>
          <w:lang w:val="zh-CN"/>
        </w:rPr>
      </w:pPr>
    </w:p>
    <w:p w14:paraId="7280CB50">
      <w:pPr>
        <w:spacing w:line="600" w:lineRule="exact"/>
        <w:jc w:val="center"/>
        <w:rPr>
          <w:rFonts w:eastAsia="方正小标宋简体"/>
          <w:sz w:val="40"/>
          <w:szCs w:val="40"/>
          <w:lang w:val="zh-CN"/>
        </w:rPr>
      </w:pPr>
    </w:p>
    <w:p w14:paraId="74D98336">
      <w:pPr>
        <w:spacing w:line="600" w:lineRule="exact"/>
        <w:jc w:val="center"/>
        <w:rPr>
          <w:rFonts w:eastAsia="方正小标宋简体"/>
          <w:sz w:val="40"/>
          <w:szCs w:val="40"/>
          <w:lang w:val="zh-CN"/>
        </w:rPr>
      </w:pPr>
    </w:p>
    <w:p w14:paraId="246E65B8">
      <w:pPr>
        <w:spacing w:line="600" w:lineRule="exact"/>
        <w:jc w:val="center"/>
        <w:rPr>
          <w:rFonts w:eastAsia="方正小标宋简体"/>
          <w:sz w:val="40"/>
          <w:szCs w:val="40"/>
          <w:lang w:val="zh-CN"/>
        </w:rPr>
      </w:pPr>
    </w:p>
    <w:p w14:paraId="1A70FE4C">
      <w:pPr>
        <w:spacing w:line="600" w:lineRule="exact"/>
        <w:jc w:val="center"/>
        <w:rPr>
          <w:rFonts w:eastAsia="方正小标宋简体"/>
          <w:sz w:val="40"/>
          <w:szCs w:val="40"/>
          <w:lang w:val="zh-CN"/>
        </w:rPr>
      </w:pPr>
    </w:p>
    <w:p w14:paraId="46928D89">
      <w:pPr>
        <w:spacing w:line="600" w:lineRule="exact"/>
        <w:jc w:val="center"/>
        <w:rPr>
          <w:rFonts w:eastAsia="方正小标宋简体"/>
          <w:sz w:val="40"/>
          <w:szCs w:val="40"/>
          <w:lang w:val="zh-CN"/>
        </w:rPr>
      </w:pPr>
    </w:p>
    <w:p w14:paraId="74098637">
      <w:pPr>
        <w:spacing w:line="600" w:lineRule="exact"/>
        <w:jc w:val="center"/>
        <w:rPr>
          <w:rFonts w:eastAsia="方正小标宋简体"/>
          <w:sz w:val="40"/>
          <w:szCs w:val="40"/>
          <w:lang w:val="zh-CN"/>
        </w:rPr>
      </w:pPr>
    </w:p>
    <w:p w14:paraId="2E38810E">
      <w:pPr>
        <w:pStyle w:val="36"/>
        <w:spacing w:line="600" w:lineRule="exact"/>
        <w:jc w:val="center"/>
        <w:rPr>
          <w:rFonts w:hint="eastAsia" w:eastAsia="方正小标宋简体"/>
          <w:sz w:val="40"/>
          <w:szCs w:val="40"/>
          <w:lang w:val="zh-CN"/>
        </w:rPr>
      </w:pPr>
      <w:r>
        <w:rPr>
          <w:rFonts w:hint="eastAsia" w:eastAsia="方正小标宋简体"/>
          <w:sz w:val="40"/>
          <w:szCs w:val="40"/>
          <w:lang w:val="zh-CN" w:eastAsia="zh-CN"/>
        </w:rPr>
        <w:t>四川省</w:t>
      </w:r>
      <w:r>
        <w:rPr>
          <w:rFonts w:hint="eastAsia" w:eastAsia="方正小标宋简体"/>
          <w:sz w:val="40"/>
          <w:szCs w:val="40"/>
          <w:lang w:val="zh-CN"/>
        </w:rPr>
        <w:t>攀枝花市中西医结合医院医疗</w:t>
      </w:r>
    </w:p>
    <w:p w14:paraId="60F9C000">
      <w:pPr>
        <w:pStyle w:val="36"/>
        <w:spacing w:line="600" w:lineRule="exact"/>
        <w:jc w:val="center"/>
        <w:rPr>
          <w:rFonts w:hint="eastAsia" w:eastAsia="方正小标宋简体"/>
          <w:sz w:val="40"/>
          <w:szCs w:val="40"/>
          <w:lang w:val="zh-CN"/>
        </w:rPr>
      </w:pPr>
      <w:r>
        <w:rPr>
          <w:rFonts w:hint="eastAsia" w:eastAsia="方正小标宋简体"/>
          <w:sz w:val="40"/>
          <w:szCs w:val="40"/>
          <w:lang w:val="zh-CN"/>
        </w:rPr>
        <w:t>服务与保障能力提升（中医药事业传承与发</w:t>
      </w:r>
    </w:p>
    <w:p w14:paraId="5DEACBD6">
      <w:pPr>
        <w:pStyle w:val="36"/>
        <w:spacing w:line="600" w:lineRule="exact"/>
        <w:jc w:val="center"/>
        <w:rPr>
          <w:rFonts w:eastAsia="方正小标宋简体"/>
          <w:sz w:val="40"/>
          <w:szCs w:val="40"/>
          <w:lang w:val="zh-CN"/>
        </w:rPr>
      </w:pPr>
      <w:r>
        <w:rPr>
          <w:rFonts w:hint="eastAsia" w:eastAsia="方正小标宋简体"/>
          <w:sz w:val="40"/>
          <w:szCs w:val="40"/>
          <w:lang w:val="zh-CN"/>
        </w:rPr>
        <w:t>展部分）</w:t>
      </w:r>
      <w:r>
        <w:rPr>
          <w:rFonts w:eastAsia="方正小标宋简体"/>
          <w:sz w:val="40"/>
          <w:szCs w:val="40"/>
          <w:lang w:val="zh-CN"/>
        </w:rPr>
        <w:t>专项预算项目支出绩效自评报告</w:t>
      </w:r>
    </w:p>
    <w:p w14:paraId="013055AB">
      <w:pPr>
        <w:spacing w:line="600" w:lineRule="exact"/>
        <w:ind w:firstLine="640"/>
        <w:jc w:val="center"/>
        <w:rPr>
          <w:sz w:val="32"/>
          <w:szCs w:val="32"/>
          <w:lang w:val="zh-CN"/>
        </w:rPr>
      </w:pPr>
    </w:p>
    <w:p w14:paraId="2BFF536C">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14:paraId="496890E5">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14:paraId="3F92C068">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根据《关于提前下达2025年医疗服务与保障能力提升中央补助资金的通知》（川财社〔2025〕4号），财政下达2025年医疗服务与保障能力提升（中医药事业传承与发展部分）中央补助资金100万元，专项用于重点科室（老年病科）建设项目，结合攀枝花市公立医院综合改革实际需求及中医药振兴发展规划，立项依据充分、政策导向明确。</w:t>
      </w:r>
    </w:p>
    <w:p w14:paraId="674D8ABF">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在攀枝花市卫健委的指导下，结合攀枝花市中西医结合医院实际情况，由医务部牵头制定各项目专项经费实施方案，依照医院货币资金管理制度、支出管理制度、财产物资清查制度、财务决算制度、成本核算制度、收入管理制度、预算管理制度等多项财务管理制度进行规范化核算，严格落实资金管理制度，确保专项资金的安全合理使用，支持方式为中央直达财政资金，资金支出严格匹配项目实施内容。</w:t>
      </w:r>
    </w:p>
    <w:p w14:paraId="2C2B1FDB">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资金分配遵循突出重点、按需分配、注重实效、辐射引领原则，综合考虑实施单位的学科建设基础、质控分中心区域覆盖责任、临床用血保障核心作用，以及攀枝花市中西医协同发展、区域医疗服务能力提升的整体需求，优先保障临床诊疗需求迫切、改革成效显著、能发挥区域辐射作用的项目，确保资金投入与医疗服务高质量发展目标高度匹配。</w:t>
      </w:r>
    </w:p>
    <w:p w14:paraId="68567246">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14:paraId="25151F40">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2025年5月资金下达，同步制定实施方案并推进工作；2025年6—12月持续开展项目实施、阶段性督导与成效评估；2025年12月完成项目全面总结、绩效数据核算及自评工作。</w:t>
      </w:r>
    </w:p>
    <w:p w14:paraId="76116365">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围绕老年健康服务需求，发挥中西医结合优势，通过加强老年医学科基础条件、人才队伍、服务能力及科研创新建设，拓展医养服务，老年重大疾病、慢性病、医养结合及功能康复的综合服务水平得到进一步提升。</w:t>
      </w:r>
    </w:p>
    <w:p w14:paraId="1344CF51">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07425F88">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首先收集项目申报、资金、财务制度等相关资料，依据项目目标和省级管理方案，按照定量指标、定性指标，制定自评指标体系以及单位实施方案，项目结束，按照项目完成情况、目标完成度、汇总问题及建议提交给管理部门，根据反馈制定改进措施，持续优化。</w:t>
      </w:r>
    </w:p>
    <w:p w14:paraId="5EB96DB6">
      <w:pPr>
        <w:adjustRightInd w:val="0"/>
        <w:snapToGrid w:val="0"/>
        <w:spacing w:line="600" w:lineRule="exact"/>
        <w:ind w:firstLine="720"/>
        <w:rPr>
          <w:rFonts w:eastAsia="黑体"/>
          <w:sz w:val="32"/>
          <w:szCs w:val="32"/>
        </w:rPr>
      </w:pPr>
      <w:r>
        <w:rPr>
          <w:rFonts w:eastAsia="黑体"/>
          <w:sz w:val="32"/>
          <w:szCs w:val="32"/>
        </w:rPr>
        <w:t>二、项目资金申报及使用情况</w:t>
      </w:r>
    </w:p>
    <w:p w14:paraId="72F0559A">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14:paraId="563E778E">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本专项由攀枝花市卫生健康委员会根据省级文件要求，结合攀枝花市医疗服务与保障能力提升实际需求，编制资金申报材料并向攀枝花市财政局申报；经市财政局审核后，依据攀财资社〔2025〕43号（2025年5月20日）、攀财资社〔2025〕151号（2025年11月25日）文件分两批批复下达中央直达资金共计</w:t>
      </w:r>
      <w:r>
        <w:rPr>
          <w:rFonts w:hint="eastAsia" w:eastAsia="仿宋_GB2312"/>
          <w:sz w:val="32"/>
          <w:szCs w:val="32"/>
          <w:lang w:val="en-US" w:eastAsia="zh-CN"/>
        </w:rPr>
        <w:t>100</w:t>
      </w:r>
      <w:r>
        <w:rPr>
          <w:rFonts w:hint="eastAsia" w:eastAsia="仿宋_GB2312"/>
          <w:sz w:val="32"/>
          <w:szCs w:val="32"/>
          <w:lang w:val="zh-CN"/>
        </w:rPr>
        <w:t>万元，项目资金申报、批复程序严格符合《中华人民共和国预算法》及专项资金管理相关规定，申报额度与批复额度完全一致。</w:t>
      </w:r>
    </w:p>
    <w:p w14:paraId="407BAE8B">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14:paraId="3154B0CB">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本专项项目资金均为中央直达财政资金，无省、市、县级财政配套资金，无项目单位自筹及其他渠道资金，资金计划、到位及使用情况如下表：</w:t>
      </w:r>
    </w:p>
    <w:tbl>
      <w:tblPr>
        <w:tblStyle w:val="17"/>
        <w:tblW w:w="8413" w:type="dxa"/>
        <w:jc w:val="center"/>
        <w:tblLayout w:type="fixed"/>
        <w:tblCellMar>
          <w:top w:w="0" w:type="dxa"/>
          <w:left w:w="108" w:type="dxa"/>
          <w:bottom w:w="0" w:type="dxa"/>
          <w:right w:w="108" w:type="dxa"/>
        </w:tblCellMar>
      </w:tblPr>
      <w:tblGrid>
        <w:gridCol w:w="1607"/>
        <w:gridCol w:w="1090"/>
        <w:gridCol w:w="1850"/>
        <w:gridCol w:w="2000"/>
        <w:gridCol w:w="1866"/>
      </w:tblGrid>
      <w:tr w14:paraId="18497D54">
        <w:tblPrEx>
          <w:tblCellMar>
            <w:top w:w="0" w:type="dxa"/>
            <w:left w:w="108" w:type="dxa"/>
            <w:bottom w:w="0" w:type="dxa"/>
            <w:right w:w="108" w:type="dxa"/>
          </w:tblCellMar>
        </w:tblPrEx>
        <w:trPr>
          <w:trHeight w:val="649" w:hRule="atLeast"/>
          <w:jc w:val="center"/>
        </w:trPr>
        <w:tc>
          <w:tcPr>
            <w:tcW w:w="1607" w:type="dxa"/>
            <w:vMerge w:val="restart"/>
            <w:tcBorders>
              <w:top w:val="single" w:color="000000" w:sz="4" w:space="0"/>
              <w:left w:val="single" w:color="000000" w:sz="4" w:space="0"/>
              <w:bottom w:val="nil"/>
              <w:right w:val="single" w:color="000000" w:sz="4" w:space="0"/>
            </w:tcBorders>
            <w:shd w:val="clear" w:color="auto" w:fill="FFFFFF"/>
            <w:vAlign w:val="center"/>
          </w:tcPr>
          <w:p w14:paraId="74ED19B9">
            <w:pPr>
              <w:spacing w:before="120" w:after="120" w:line="600" w:lineRule="exact"/>
              <w:rPr>
                <w:rFonts w:ascii="仿宋" w:hAnsi="仿宋" w:eastAsia="仿宋" w:cs="仿宋_GB2312"/>
                <w:kern w:val="0"/>
                <w:sz w:val="24"/>
                <w:szCs w:val="28"/>
              </w:rPr>
            </w:pPr>
            <w:r>
              <w:rPr>
                <w:rFonts w:hint="eastAsia" w:ascii="仿宋" w:hAnsi="仿宋" w:eastAsia="仿宋" w:cs="仿宋_GB2312"/>
                <w:kern w:val="0"/>
                <w:sz w:val="24"/>
                <w:szCs w:val="28"/>
              </w:rPr>
              <w:t>项目名称</w:t>
            </w:r>
          </w:p>
        </w:tc>
        <w:tc>
          <w:tcPr>
            <w:tcW w:w="49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F2640F">
            <w:pPr>
              <w:spacing w:before="120" w:after="120" w:line="600" w:lineRule="exact"/>
              <w:ind w:firstLine="480" w:firstLineChars="200"/>
              <w:rPr>
                <w:rFonts w:ascii="仿宋" w:hAnsi="仿宋" w:eastAsia="仿宋" w:cs="仿宋_GB2312"/>
                <w:kern w:val="0"/>
                <w:sz w:val="24"/>
                <w:szCs w:val="28"/>
              </w:rPr>
            </w:pPr>
            <w:r>
              <w:rPr>
                <w:rFonts w:hint="eastAsia" w:ascii="仿宋" w:hAnsi="仿宋" w:eastAsia="仿宋" w:cs="仿宋_GB2312"/>
                <w:kern w:val="0"/>
                <w:sz w:val="24"/>
                <w:szCs w:val="28"/>
              </w:rPr>
              <w:t>资金下达情况</w:t>
            </w:r>
          </w:p>
        </w:tc>
        <w:tc>
          <w:tcPr>
            <w:tcW w:w="1866" w:type="dxa"/>
            <w:vMerge w:val="restart"/>
            <w:tcBorders>
              <w:top w:val="single" w:color="000000" w:sz="4" w:space="0"/>
              <w:left w:val="single" w:color="000000" w:sz="4" w:space="0"/>
              <w:right w:val="single" w:color="000000" w:sz="4" w:space="0"/>
            </w:tcBorders>
            <w:shd w:val="clear" w:color="auto" w:fill="auto"/>
            <w:noWrap/>
            <w:vAlign w:val="center"/>
          </w:tcPr>
          <w:p w14:paraId="2C5CDE31">
            <w:pPr>
              <w:spacing w:before="120" w:after="120" w:line="600" w:lineRule="exact"/>
              <w:rPr>
                <w:rFonts w:ascii="仿宋" w:hAnsi="仿宋" w:eastAsia="仿宋" w:cs="仿宋_GB2312"/>
                <w:kern w:val="0"/>
                <w:sz w:val="24"/>
                <w:szCs w:val="28"/>
              </w:rPr>
            </w:pPr>
            <w:r>
              <w:rPr>
                <w:rFonts w:hint="eastAsia" w:ascii="仿宋" w:hAnsi="仿宋" w:eastAsia="仿宋" w:cs="仿宋_GB2312"/>
                <w:kern w:val="0"/>
                <w:sz w:val="24"/>
                <w:szCs w:val="28"/>
              </w:rPr>
              <w:t>资金使用方向</w:t>
            </w:r>
          </w:p>
        </w:tc>
      </w:tr>
      <w:tr w14:paraId="0C9A1D77">
        <w:tblPrEx>
          <w:tblCellMar>
            <w:top w:w="0" w:type="dxa"/>
            <w:left w:w="108" w:type="dxa"/>
            <w:bottom w:w="0" w:type="dxa"/>
            <w:right w:w="108" w:type="dxa"/>
          </w:tblCellMar>
        </w:tblPrEx>
        <w:trPr>
          <w:trHeight w:val="1120" w:hRule="atLeast"/>
          <w:jc w:val="center"/>
        </w:trPr>
        <w:tc>
          <w:tcPr>
            <w:tcW w:w="1607" w:type="dxa"/>
            <w:vMerge w:val="continue"/>
            <w:tcBorders>
              <w:top w:val="single" w:color="000000" w:sz="4" w:space="0"/>
              <w:left w:val="single" w:color="000000" w:sz="4" w:space="0"/>
              <w:bottom w:val="nil"/>
              <w:right w:val="single" w:color="000000" w:sz="4" w:space="0"/>
            </w:tcBorders>
            <w:shd w:val="clear" w:color="auto" w:fill="FFFFFF"/>
            <w:vAlign w:val="center"/>
          </w:tcPr>
          <w:p w14:paraId="11D7FEC9">
            <w:pPr>
              <w:spacing w:before="120" w:after="120" w:line="600" w:lineRule="exact"/>
              <w:ind w:firstLine="480" w:firstLineChars="200"/>
              <w:rPr>
                <w:rFonts w:ascii="仿宋" w:hAnsi="仿宋" w:eastAsia="仿宋" w:cs="仿宋_GB2312"/>
                <w:kern w:val="0"/>
                <w:sz w:val="24"/>
                <w:szCs w:val="28"/>
              </w:rPr>
            </w:pPr>
          </w:p>
        </w:tc>
        <w:tc>
          <w:tcPr>
            <w:tcW w:w="109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74771DD9">
            <w:pPr>
              <w:spacing w:before="120" w:after="120" w:line="600" w:lineRule="exact"/>
              <w:rPr>
                <w:rFonts w:ascii="仿宋" w:hAnsi="仿宋" w:eastAsia="仿宋" w:cs="仿宋_GB2312"/>
                <w:kern w:val="0"/>
                <w:sz w:val="24"/>
                <w:szCs w:val="28"/>
              </w:rPr>
            </w:pPr>
            <w:r>
              <w:rPr>
                <w:rFonts w:hint="eastAsia" w:ascii="仿宋" w:hAnsi="仿宋" w:eastAsia="仿宋" w:cs="仿宋_GB2312"/>
                <w:kern w:val="0"/>
                <w:sz w:val="24"/>
                <w:szCs w:val="28"/>
              </w:rPr>
              <w:t>资金下达文号</w:t>
            </w:r>
          </w:p>
        </w:tc>
        <w:tc>
          <w:tcPr>
            <w:tcW w:w="185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AE8DC79">
            <w:pPr>
              <w:spacing w:before="120" w:after="120" w:line="600" w:lineRule="exact"/>
              <w:rPr>
                <w:rFonts w:ascii="仿宋" w:hAnsi="仿宋" w:eastAsia="仿宋" w:cs="仿宋_GB2312"/>
                <w:kern w:val="0"/>
                <w:sz w:val="24"/>
                <w:szCs w:val="28"/>
              </w:rPr>
            </w:pPr>
            <w:r>
              <w:rPr>
                <w:rFonts w:hint="eastAsia" w:ascii="仿宋" w:hAnsi="仿宋" w:eastAsia="仿宋" w:cs="仿宋_GB2312"/>
                <w:kern w:val="0"/>
                <w:sz w:val="24"/>
                <w:szCs w:val="28"/>
              </w:rPr>
              <w:t>资金下达时间</w:t>
            </w:r>
          </w:p>
        </w:tc>
        <w:tc>
          <w:tcPr>
            <w:tcW w:w="2000" w:type="dxa"/>
            <w:tcBorders>
              <w:top w:val="single" w:color="000000" w:sz="4" w:space="0"/>
              <w:left w:val="single" w:color="000000" w:sz="4" w:space="0"/>
              <w:bottom w:val="nil"/>
              <w:right w:val="single" w:color="000000" w:sz="4" w:space="0"/>
            </w:tcBorders>
            <w:shd w:val="clear" w:color="auto" w:fill="FFFFFF"/>
            <w:vAlign w:val="center"/>
          </w:tcPr>
          <w:p w14:paraId="0BAE2482">
            <w:pPr>
              <w:spacing w:before="120" w:after="120" w:line="600" w:lineRule="exact"/>
              <w:rPr>
                <w:rFonts w:ascii="仿宋" w:hAnsi="仿宋" w:eastAsia="仿宋" w:cs="仿宋_GB2312"/>
                <w:kern w:val="0"/>
                <w:sz w:val="24"/>
                <w:szCs w:val="28"/>
              </w:rPr>
            </w:pPr>
            <w:r>
              <w:rPr>
                <w:rFonts w:hint="eastAsia" w:ascii="仿宋" w:hAnsi="仿宋" w:eastAsia="仿宋" w:cs="仿宋_GB2312"/>
                <w:kern w:val="0"/>
                <w:sz w:val="24"/>
                <w:szCs w:val="28"/>
              </w:rPr>
              <w:t>资金下达金额</w:t>
            </w:r>
          </w:p>
        </w:tc>
        <w:tc>
          <w:tcPr>
            <w:tcW w:w="1866" w:type="dxa"/>
            <w:vMerge w:val="continue"/>
            <w:tcBorders>
              <w:left w:val="single" w:color="000000" w:sz="4" w:space="0"/>
              <w:bottom w:val="single" w:color="000000" w:sz="4" w:space="0"/>
              <w:right w:val="single" w:color="000000" w:sz="4" w:space="0"/>
            </w:tcBorders>
            <w:shd w:val="clear" w:color="auto" w:fill="auto"/>
            <w:noWrap/>
            <w:vAlign w:val="center"/>
          </w:tcPr>
          <w:p w14:paraId="6819BF85">
            <w:pPr>
              <w:spacing w:before="120" w:after="120" w:line="600" w:lineRule="exact"/>
              <w:ind w:firstLine="480" w:firstLineChars="200"/>
              <w:rPr>
                <w:rFonts w:ascii="仿宋" w:hAnsi="仿宋" w:eastAsia="仿宋" w:cs="仿宋_GB2312"/>
                <w:kern w:val="0"/>
                <w:sz w:val="24"/>
                <w:szCs w:val="28"/>
              </w:rPr>
            </w:pPr>
          </w:p>
        </w:tc>
      </w:tr>
      <w:tr w14:paraId="58939D7A">
        <w:tblPrEx>
          <w:tblCellMar>
            <w:top w:w="0" w:type="dxa"/>
            <w:left w:w="108" w:type="dxa"/>
            <w:bottom w:w="0" w:type="dxa"/>
            <w:right w:w="108" w:type="dxa"/>
          </w:tblCellMar>
        </w:tblPrEx>
        <w:trPr>
          <w:trHeight w:val="2559" w:hRule="atLeast"/>
          <w:jc w:val="center"/>
        </w:trPr>
        <w:tc>
          <w:tcPr>
            <w:tcW w:w="160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765F329">
            <w:pPr>
              <w:spacing w:before="120" w:after="120" w:line="600" w:lineRule="exact"/>
              <w:ind w:firstLine="480" w:firstLineChars="200"/>
              <w:rPr>
                <w:rFonts w:ascii="仿宋" w:hAnsi="仿宋" w:eastAsia="仿宋" w:cs="仿宋_GB2312"/>
                <w:kern w:val="0"/>
                <w:sz w:val="24"/>
                <w:szCs w:val="28"/>
              </w:rPr>
            </w:pPr>
            <w:r>
              <w:rPr>
                <w:rFonts w:hint="eastAsia" w:ascii="仿宋" w:hAnsi="仿宋" w:eastAsia="仿宋" w:cs="仿宋_GB2312"/>
                <w:kern w:val="0"/>
                <w:sz w:val="24"/>
                <w:szCs w:val="28"/>
              </w:rPr>
              <w:t>重点科室建设项目（老年病科）</w:t>
            </w:r>
          </w:p>
        </w:tc>
        <w:tc>
          <w:tcPr>
            <w:tcW w:w="10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8C704DC">
            <w:pPr>
              <w:spacing w:before="120" w:after="120" w:line="600" w:lineRule="exact"/>
              <w:rPr>
                <w:rFonts w:ascii="仿宋" w:hAnsi="仿宋" w:eastAsia="仿宋" w:cs="仿宋_GB2312"/>
                <w:kern w:val="0"/>
                <w:sz w:val="24"/>
                <w:szCs w:val="28"/>
              </w:rPr>
            </w:pPr>
            <w:r>
              <w:rPr>
                <w:rFonts w:hint="eastAsia" w:ascii="仿宋" w:hAnsi="仿宋" w:eastAsia="仿宋" w:cs="仿宋_GB2312"/>
                <w:kern w:val="0"/>
                <w:sz w:val="24"/>
                <w:szCs w:val="28"/>
              </w:rPr>
              <w:t>攀财资社</w:t>
            </w:r>
            <w:r>
              <w:rPr>
                <w:rFonts w:hint="eastAsia" w:ascii="仿宋" w:hAnsi="仿宋" w:eastAsia="仿宋" w:cs="仿宋_GB2312"/>
                <w:kern w:val="0"/>
                <w:sz w:val="24"/>
                <w:szCs w:val="28"/>
                <w:lang w:eastAsia="zh-CN"/>
              </w:rPr>
              <w:t>〔2025〕42号</w:t>
            </w:r>
          </w:p>
        </w:tc>
        <w:tc>
          <w:tcPr>
            <w:tcW w:w="185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8DC2A1">
            <w:pPr>
              <w:spacing w:before="120" w:after="120" w:line="600" w:lineRule="exact"/>
              <w:rPr>
                <w:rFonts w:ascii="仿宋" w:hAnsi="仿宋" w:eastAsia="仿宋" w:cs="仿宋_GB2312"/>
                <w:kern w:val="0"/>
                <w:sz w:val="24"/>
                <w:szCs w:val="28"/>
              </w:rPr>
            </w:pPr>
            <w:r>
              <w:rPr>
                <w:rFonts w:hint="eastAsia" w:ascii="仿宋" w:hAnsi="仿宋" w:eastAsia="仿宋" w:cs="仿宋_GB2312"/>
                <w:kern w:val="0"/>
                <w:sz w:val="24"/>
                <w:szCs w:val="28"/>
              </w:rPr>
              <w:t>20250520</w:t>
            </w:r>
          </w:p>
        </w:tc>
        <w:tc>
          <w:tcPr>
            <w:tcW w:w="2000"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3E3930E8">
            <w:pPr>
              <w:spacing w:before="120" w:after="120" w:line="600" w:lineRule="exact"/>
              <w:rPr>
                <w:rFonts w:ascii="仿宋" w:hAnsi="仿宋" w:eastAsia="仿宋" w:cs="仿宋_GB2312"/>
                <w:kern w:val="0"/>
                <w:sz w:val="24"/>
                <w:szCs w:val="28"/>
              </w:rPr>
            </w:pPr>
            <w:r>
              <w:rPr>
                <w:rFonts w:hint="eastAsia" w:ascii="仿宋" w:hAnsi="仿宋" w:eastAsia="仿宋" w:cs="仿宋_GB2312"/>
                <w:kern w:val="0"/>
                <w:sz w:val="24"/>
                <w:szCs w:val="28"/>
              </w:rPr>
              <w:t>1000000</w:t>
            </w:r>
          </w:p>
        </w:tc>
        <w:tc>
          <w:tcPr>
            <w:tcW w:w="18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77448">
            <w:pPr>
              <w:spacing w:before="120" w:after="120" w:line="600" w:lineRule="exact"/>
              <w:rPr>
                <w:rFonts w:ascii="仿宋" w:hAnsi="仿宋" w:eastAsia="仿宋" w:cs="仿宋_GB2312"/>
                <w:kern w:val="0"/>
                <w:sz w:val="24"/>
                <w:szCs w:val="28"/>
              </w:rPr>
            </w:pPr>
            <w:r>
              <w:rPr>
                <w:rFonts w:hint="eastAsia" w:ascii="仿宋" w:hAnsi="仿宋" w:eastAsia="仿宋" w:cs="仿宋_GB2312"/>
                <w:kern w:val="0"/>
                <w:sz w:val="24"/>
                <w:szCs w:val="28"/>
              </w:rPr>
              <w:t>必要设备购置等</w:t>
            </w:r>
          </w:p>
        </w:tc>
      </w:tr>
    </w:tbl>
    <w:p w14:paraId="3B8B7820">
      <w:pPr>
        <w:adjustRightInd w:val="0"/>
        <w:snapToGrid w:val="0"/>
        <w:spacing w:line="600" w:lineRule="exact"/>
        <w:ind w:firstLine="720"/>
        <w:rPr>
          <w:rFonts w:eastAsia="仿宋_GB2312"/>
          <w:sz w:val="32"/>
          <w:szCs w:val="32"/>
          <w:lang w:val="zh-CN"/>
        </w:rPr>
      </w:pPr>
      <w:r>
        <w:rPr>
          <w:rFonts w:eastAsia="仿宋_GB2312"/>
          <w:sz w:val="32"/>
          <w:szCs w:val="32"/>
          <w:lang w:val="zh-CN"/>
        </w:rPr>
        <w:t>截至评价时点，专项资金100%到位，到位时间与实施进度匹配，无延迟情况。资金支付范围、标准、依据均合规，</w:t>
      </w:r>
      <w:r>
        <w:rPr>
          <w:rFonts w:hint="eastAsia" w:eastAsia="仿宋_GB2312"/>
          <w:sz w:val="32"/>
          <w:szCs w:val="32"/>
          <w:lang w:val="zh-CN"/>
        </w:rPr>
        <w:t>涉及</w:t>
      </w:r>
      <w:r>
        <w:rPr>
          <w:rFonts w:eastAsia="仿宋_GB2312"/>
          <w:sz w:val="32"/>
          <w:szCs w:val="32"/>
          <w:lang w:val="zh-CN"/>
        </w:rPr>
        <w:t>综合医疗提升</w:t>
      </w:r>
      <w:r>
        <w:rPr>
          <w:rFonts w:hint="eastAsia" w:eastAsia="仿宋_GB2312"/>
          <w:sz w:val="32"/>
          <w:szCs w:val="32"/>
          <w:lang w:val="zh-CN"/>
        </w:rPr>
        <w:t>及</w:t>
      </w:r>
      <w:r>
        <w:rPr>
          <w:rFonts w:eastAsia="仿宋_GB2312"/>
          <w:sz w:val="32"/>
          <w:szCs w:val="32"/>
          <w:lang w:val="zh-CN"/>
        </w:rPr>
        <w:t>中医药领域，无截留、挪用，支出进度与实施同步，100%支出完毕。</w:t>
      </w:r>
    </w:p>
    <w:p w14:paraId="3D081DF0">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14:paraId="646822EE">
      <w:pPr>
        <w:adjustRightInd w:val="0"/>
        <w:snapToGrid w:val="0"/>
        <w:spacing w:line="600" w:lineRule="exact"/>
        <w:ind w:firstLine="720"/>
        <w:rPr>
          <w:rFonts w:eastAsia="仿宋_GB2312"/>
          <w:sz w:val="32"/>
          <w:szCs w:val="32"/>
          <w:lang w:val="zh-CN"/>
        </w:rPr>
      </w:pPr>
      <w:r>
        <w:rPr>
          <w:rFonts w:eastAsia="仿宋_GB2312"/>
          <w:sz w:val="32"/>
          <w:szCs w:val="32"/>
          <w:lang w:val="zh-CN"/>
        </w:rPr>
        <w:t>实施单位严格执行《医院财务制度》，专项均设专账核算，账务处理及时，报销需“三级审核”；会计科目按《2025年政府收支分类科目》设置，财务部门定期核查资金使用，管理规范。</w:t>
      </w:r>
    </w:p>
    <w:p w14:paraId="183EA858">
      <w:pPr>
        <w:adjustRightInd w:val="0"/>
        <w:snapToGrid w:val="0"/>
        <w:spacing w:line="600" w:lineRule="exact"/>
        <w:ind w:firstLine="720"/>
        <w:rPr>
          <w:rFonts w:eastAsia="黑体"/>
          <w:sz w:val="32"/>
          <w:szCs w:val="32"/>
        </w:rPr>
      </w:pPr>
      <w:r>
        <w:rPr>
          <w:rFonts w:eastAsia="黑体"/>
          <w:sz w:val="32"/>
          <w:szCs w:val="32"/>
        </w:rPr>
        <w:t>三、项目实施及管理情况</w:t>
      </w:r>
    </w:p>
    <w:p w14:paraId="0BEF46E0">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设立财政专项资金项目管理小组（包含财务、设备、采购、医务、护理等），由医务部牵头各科室做好项目工作的组织实施，在项目执行过程中收集整理项目管理及财务资料并妥善保存，以备检查和接受审计部门的审计。</w:t>
      </w:r>
    </w:p>
    <w:p w14:paraId="58415D83">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做好经费使用计划，按照计划推进落实，年底将具体工作形成工作报告，对实施效果进行综合评估，报攀枝花市卫健委、市中医药管理局。</w:t>
      </w:r>
    </w:p>
    <w:p w14:paraId="7C16A529">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14:paraId="5E03F508">
      <w:pPr>
        <w:adjustRightInd w:val="0"/>
        <w:snapToGrid w:val="0"/>
        <w:spacing w:line="600" w:lineRule="exact"/>
        <w:ind w:firstLine="720"/>
        <w:rPr>
          <w:rFonts w:eastAsia="仿宋_GB2312"/>
          <w:sz w:val="32"/>
          <w:szCs w:val="32"/>
          <w:lang w:val="zh-CN"/>
        </w:rPr>
      </w:pPr>
      <w:r>
        <w:rPr>
          <w:rFonts w:eastAsia="楷体_GB2312"/>
          <w:b/>
          <w:sz w:val="32"/>
          <w:szCs w:val="32"/>
          <w:lang w:val="zh-CN"/>
        </w:rPr>
        <w:t>（二）项目管理情况。</w:t>
      </w:r>
      <w:r>
        <w:rPr>
          <w:rFonts w:hint="eastAsia" w:eastAsia="仿宋_GB2312"/>
          <w:sz w:val="32"/>
          <w:szCs w:val="32"/>
          <w:lang w:val="zh-CN"/>
        </w:rPr>
        <w:t>项目实施全过程严格执行国家及省市相关法律法规、项目管理制度，管理规范、流程合规、全过程留痕。一是严格执行政府采购及招投标制度，项目中涉及的设备购置、服务采购等，凡达到招投标标准的，均通过公开招标、竞争性谈判等方式进行，未达到标准的通过询价等方式择优选择供应商，采购过程全程留痕；二是执行项目公示制度，项目资金额度、实施内容、实施进度、成效情况等接受社会监督；三是执行重大事项集体决策制度，项目实施中的重大问题、资金使用重大调整等，均经医院党委会、院长办公会集体研究决定；四是强化项目资料管理，安排专人负责收集、整理项目实施全过程资料，包括实施方案、工作台账、财务凭证、成效佐证等，做到资料完整、分类规范、归档及时。</w:t>
      </w:r>
    </w:p>
    <w:p w14:paraId="7E14FD21">
      <w:pPr>
        <w:adjustRightInd w:val="0"/>
        <w:snapToGrid w:val="0"/>
        <w:spacing w:line="600" w:lineRule="exact"/>
        <w:ind w:firstLine="720"/>
        <w:rPr>
          <w:rFonts w:eastAsia="仿宋_GB2312"/>
          <w:sz w:val="32"/>
          <w:szCs w:val="32"/>
          <w:lang w:val="zh-CN"/>
        </w:rPr>
      </w:pPr>
      <w:r>
        <w:rPr>
          <w:rFonts w:eastAsia="楷体_GB2312"/>
          <w:b/>
          <w:sz w:val="32"/>
          <w:szCs w:val="32"/>
          <w:lang w:val="zh-CN"/>
        </w:rPr>
        <w:t>（三）项目监管情况。</w:t>
      </w:r>
      <w:r>
        <w:rPr>
          <w:rFonts w:hint="eastAsia" w:eastAsia="仿宋_GB2312"/>
          <w:sz w:val="32"/>
          <w:szCs w:val="32"/>
          <w:lang w:val="zh-CN"/>
        </w:rPr>
        <w:t>专项资金项目管理小组按照资金管理制度开展工作并规范报销，及时进行报销，严格审查。</w:t>
      </w:r>
    </w:p>
    <w:p w14:paraId="01D16854">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14:paraId="2400F3C3">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14:paraId="47C2FB6A">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1.完善老年医学科业务用房布局，设置老年综合评估室、中医综合治疗室、康复训练区、医养结合等功能服务区域。配置老年病专科诊疗设备，如注射泵、空气波压力治疗仪、动态血压仪、经颅超声电疗仪、呼吸分析与康复仪等。优化老年友善环境，推进无障碍设施、防跌倒设施等适老化改造，提升老年患者就医体验。</w:t>
      </w:r>
    </w:p>
    <w:p w14:paraId="518CB55E">
      <w:pPr>
        <w:adjustRightInd w:val="0"/>
        <w:snapToGrid w:val="0"/>
        <w:spacing w:line="600" w:lineRule="exact"/>
        <w:ind w:firstLine="720"/>
        <w:rPr>
          <w:rFonts w:hint="eastAsia" w:eastAsia="仿宋_GB2312"/>
          <w:sz w:val="32"/>
          <w:szCs w:val="32"/>
          <w:lang w:val="zh-CN"/>
        </w:rPr>
      </w:pPr>
      <w:r>
        <w:rPr>
          <w:rFonts w:hint="eastAsia" w:eastAsia="仿宋_GB2312"/>
          <w:sz w:val="32"/>
          <w:szCs w:val="32"/>
          <w:lang w:val="zh-CN"/>
        </w:rPr>
        <w:t>2.加强病理等平台科室建设，围绕老年常见病、多发病慢性阻塞性肺疾病，配备制氧机。建立老年综合评估、中医干预、康复护理一体化的服务模式。重点打造老年心血管、老年呼吸、老年认知障碍、老年骨病、老年内分泌等中医特色专病方向。</w:t>
      </w:r>
    </w:p>
    <w:p w14:paraId="6E7D0CC7">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3917EF96">
      <w:pPr>
        <w:spacing w:line="600" w:lineRule="exact"/>
        <w:ind w:firstLine="640" w:firstLineChars="200"/>
        <w:rPr>
          <w:rFonts w:hint="eastAsia" w:eastAsia="仿宋_GB2312"/>
          <w:sz w:val="32"/>
          <w:szCs w:val="32"/>
          <w:lang w:val="zh-CN"/>
        </w:rPr>
      </w:pPr>
      <w:r>
        <w:rPr>
          <w:rFonts w:hint="eastAsia" w:eastAsia="仿宋_GB2312"/>
          <w:sz w:val="32"/>
          <w:szCs w:val="32"/>
          <w:lang w:val="zh-CN"/>
        </w:rPr>
        <w:t>2025年围绕项目建设目标，稳步推进各项工作，取得阶段性成效。医疗服务方面，老年科门诊量达14919人次，同比增长24.4%，住院患者3131人次，同比增长15.</w:t>
      </w:r>
      <w:r>
        <w:rPr>
          <w:rFonts w:hint="eastAsia" w:eastAsia="仿宋_GB2312"/>
          <w:sz w:val="32"/>
          <w:szCs w:val="32"/>
          <w:lang w:val="en-US" w:eastAsia="zh-CN"/>
        </w:rPr>
        <w:t>4</w:t>
      </w:r>
      <w:r>
        <w:rPr>
          <w:rFonts w:hint="eastAsia" w:eastAsia="仿宋_GB2312"/>
          <w:sz w:val="32"/>
          <w:szCs w:val="32"/>
          <w:lang w:val="zh-CN"/>
        </w:rPr>
        <w:t>%，病床使用率147.7%，平均住院日9.34天，中医治疗率与非药物疗法使用率均保持在60%以上，DRG支付实现正向盈利。医疗质量持续夯实，开展培训24场、督查12次，牵头成立市级全科医学质控中心，并获省级“卓越推动奖”，满意度达99.</w:t>
      </w:r>
      <w:r>
        <w:rPr>
          <w:rFonts w:hint="eastAsia" w:eastAsia="仿宋_GB2312"/>
          <w:sz w:val="32"/>
          <w:szCs w:val="32"/>
          <w:lang w:val="en-US" w:eastAsia="zh-CN"/>
        </w:rPr>
        <w:t>5</w:t>
      </w:r>
      <w:r>
        <w:rPr>
          <w:rFonts w:hint="eastAsia" w:eastAsia="仿宋_GB2312"/>
          <w:sz w:val="32"/>
          <w:szCs w:val="32"/>
          <w:lang w:val="zh-CN"/>
        </w:rPr>
        <w:t>%。学科建设方面，设有老年医学、全科医学、特需病区及MICU四大病区，开放床位115张，开展新技术2项，与华西医院及多家基层机构深化协作，全年开展坐诊查房授课48次、义诊16次。人才队伍不断优化，引进研究生1名、护士2名，接收进修人员20名，外派1人进修，组织业务学习27次、病例讨论12次、教学查房55次，举办省级继教项目1项。科研教学方面，申报市级科研2项、立项1项、在研3项、结题1项，完成理论授课48学时、临床带教93人次，招收全科规培医师4人，开展基层教学门诊96次，培训基层医生96期。宣传影响持续扩大，推送科普文章25篇、视频4部，获省级微视频优秀奖1项、市级科普二等奖1项及院级奖项2项。党建廉政方面，开展廉政教育12次、谈话16次，成立监督小组并开展抽查12次。同时，中心也清醒地认识到存在科室管理精细度不足、MICU运营待规范、人才结构不优、高级职称及科研人才缺乏、科研创新能力不强等短板。2026年作为“十五五”开局之年，中心将围绕高质量发展要求，启动市级重点专科与质控中心建设，推进AI医疗与智慧服务，强化分级诊疗与区域协同，加强MICU规范化管理，力争住院量增长15%、门诊量增长10%以上，平均住院日控制在8天内，药占比降至20%以下，保持中医治疗率60%以上，研发专科中药制剂2个，举办省级继教项目2项、市级1项；精准引进研究生1-2名，外派进修医师1名、护士1-2名，组织内部培训不少于30场；成立科研小组，力争申报省级项目1-2项、院级1项，发表论文3篇以上，招收全科规培医师10名，执医与结业考核通过率达100%；深化健康科普与品牌传播，定期开展健康讲座与义诊。</w:t>
      </w:r>
    </w:p>
    <w:p w14:paraId="38DE2F02">
      <w:pPr>
        <w:adjustRightInd w:val="0"/>
        <w:snapToGrid w:val="0"/>
        <w:spacing w:line="600" w:lineRule="exact"/>
        <w:ind w:firstLine="720"/>
        <w:rPr>
          <w:rFonts w:eastAsia="黑体"/>
          <w:sz w:val="32"/>
          <w:szCs w:val="32"/>
        </w:rPr>
      </w:pPr>
      <w:r>
        <w:rPr>
          <w:rFonts w:eastAsia="黑体"/>
          <w:sz w:val="32"/>
          <w:szCs w:val="32"/>
        </w:rPr>
        <w:t>五、评价结论及建议</w:t>
      </w:r>
    </w:p>
    <w:p w14:paraId="03917077">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14:paraId="0380477D">
      <w:pPr>
        <w:adjustRightInd w:val="0"/>
        <w:snapToGrid w:val="0"/>
        <w:spacing w:line="600" w:lineRule="exact"/>
        <w:ind w:firstLine="640" w:firstLineChars="200"/>
        <w:rPr>
          <w:rFonts w:eastAsia="仿宋_GB2312"/>
          <w:sz w:val="32"/>
          <w:szCs w:val="32"/>
          <w:bdr w:val="single" w:color="auto" w:sz="4" w:space="0"/>
          <w:lang w:val="zh-CN"/>
        </w:rPr>
      </w:pPr>
      <w:r>
        <w:rPr>
          <w:rFonts w:hint="eastAsia" w:eastAsia="仿宋_GB2312"/>
          <w:sz w:val="32"/>
          <w:szCs w:val="32"/>
          <w:lang w:val="zh-CN"/>
        </w:rPr>
        <w:t>项目目标达成程度高、实施过程规范、效益显著、创新性强。</w:t>
      </w:r>
    </w:p>
    <w:p w14:paraId="5638F3AE">
      <w:pPr>
        <w:adjustRightInd w:val="0"/>
        <w:snapToGrid w:val="0"/>
        <w:spacing w:line="600" w:lineRule="exact"/>
        <w:ind w:firstLine="643" w:firstLineChars="200"/>
        <w:rPr>
          <w:rFonts w:eastAsia="楷体_GB2312"/>
          <w:b/>
          <w:sz w:val="32"/>
          <w:szCs w:val="32"/>
          <w:lang w:val="zh-CN"/>
        </w:rPr>
      </w:pPr>
      <w:r>
        <w:rPr>
          <w:rFonts w:eastAsia="楷体_GB2312"/>
          <w:b/>
          <w:sz w:val="32"/>
          <w:szCs w:val="32"/>
          <w:lang w:val="zh-CN"/>
        </w:rPr>
        <w:t>（二）存在的问题。</w:t>
      </w:r>
    </w:p>
    <w:p w14:paraId="00E2F6A3">
      <w:pPr>
        <w:adjustRightInd w:val="0"/>
        <w:snapToGrid w:val="0"/>
        <w:spacing w:line="600" w:lineRule="exact"/>
        <w:ind w:firstLine="640" w:firstLineChars="200"/>
        <w:rPr>
          <w:rFonts w:eastAsia="仿宋_GB2312"/>
          <w:sz w:val="32"/>
          <w:szCs w:val="32"/>
          <w:lang w:val="zh-CN"/>
        </w:rPr>
      </w:pPr>
      <w:r>
        <w:rPr>
          <w:rFonts w:hint="eastAsia" w:eastAsia="仿宋_GB2312"/>
          <w:sz w:val="32"/>
          <w:szCs w:val="32"/>
          <w:lang w:val="zh-CN"/>
        </w:rPr>
        <w:t>无</w:t>
      </w:r>
      <w:r>
        <w:rPr>
          <w:rFonts w:eastAsia="仿宋_GB2312"/>
          <w:sz w:val="32"/>
          <w:szCs w:val="32"/>
          <w:lang w:val="zh-CN"/>
        </w:rPr>
        <w:tab/>
      </w:r>
    </w:p>
    <w:p w14:paraId="6A5CCF49">
      <w:pPr>
        <w:adjustRightInd w:val="0"/>
        <w:snapToGrid w:val="0"/>
        <w:spacing w:line="600" w:lineRule="exact"/>
        <w:ind w:firstLine="643" w:firstLineChars="200"/>
        <w:rPr>
          <w:rFonts w:eastAsia="楷体_GB2312"/>
          <w:b/>
          <w:sz w:val="32"/>
          <w:szCs w:val="32"/>
          <w:lang w:val="zh-CN"/>
        </w:rPr>
      </w:pPr>
      <w:r>
        <w:rPr>
          <w:rFonts w:eastAsia="楷体_GB2312"/>
          <w:b/>
          <w:sz w:val="32"/>
          <w:szCs w:val="32"/>
          <w:lang w:val="zh-CN"/>
        </w:rPr>
        <w:t>（三）相关建议。</w:t>
      </w:r>
    </w:p>
    <w:p w14:paraId="003BE34B">
      <w:pPr>
        <w:spacing w:line="600" w:lineRule="exact"/>
        <w:ind w:firstLine="640" w:firstLineChars="200"/>
        <w:jc w:val="both"/>
        <w:rPr>
          <w:rFonts w:hint="eastAsia" w:eastAsia="仿宋_GB2312"/>
          <w:sz w:val="32"/>
          <w:szCs w:val="32"/>
          <w:lang w:val="zh-CN"/>
        </w:rPr>
      </w:pPr>
      <w:r>
        <w:rPr>
          <w:rFonts w:hint="eastAsia" w:eastAsia="仿宋_GB2312"/>
          <w:sz w:val="32"/>
          <w:szCs w:val="32"/>
          <w:lang w:val="zh-CN"/>
        </w:rPr>
        <w:t>无</w:t>
      </w:r>
    </w:p>
    <w:p w14:paraId="681C394F">
      <w:pPr>
        <w:spacing w:line="600" w:lineRule="exact"/>
        <w:jc w:val="center"/>
        <w:rPr>
          <w:rFonts w:hint="eastAsia" w:eastAsia="仿宋_GB2312"/>
          <w:sz w:val="32"/>
          <w:szCs w:val="32"/>
          <w:lang w:val="zh-CN"/>
        </w:rPr>
      </w:pPr>
    </w:p>
    <w:p w14:paraId="25EDE2F6">
      <w:pPr>
        <w:spacing w:line="600" w:lineRule="exact"/>
        <w:jc w:val="center"/>
        <w:rPr>
          <w:rFonts w:hint="eastAsia" w:eastAsia="仿宋_GB2312"/>
          <w:sz w:val="32"/>
          <w:szCs w:val="32"/>
          <w:lang w:val="zh-CN"/>
        </w:rPr>
      </w:pPr>
    </w:p>
    <w:p w14:paraId="1D6A6F44">
      <w:pPr>
        <w:spacing w:line="600" w:lineRule="exact"/>
        <w:jc w:val="center"/>
        <w:rPr>
          <w:rFonts w:hint="eastAsia" w:eastAsia="仿宋_GB2312"/>
          <w:sz w:val="32"/>
          <w:szCs w:val="32"/>
          <w:lang w:val="zh-CN"/>
        </w:rPr>
      </w:pPr>
    </w:p>
    <w:p w14:paraId="44DFEC96">
      <w:pPr>
        <w:spacing w:line="600" w:lineRule="exact"/>
        <w:jc w:val="center"/>
        <w:rPr>
          <w:rFonts w:hint="eastAsia" w:eastAsia="仿宋_GB2312"/>
          <w:sz w:val="32"/>
          <w:szCs w:val="32"/>
          <w:lang w:val="zh-CN"/>
        </w:rPr>
      </w:pPr>
    </w:p>
    <w:p w14:paraId="1239654C">
      <w:pPr>
        <w:spacing w:line="600" w:lineRule="exact"/>
        <w:jc w:val="center"/>
        <w:rPr>
          <w:rFonts w:hint="eastAsia" w:eastAsia="仿宋_GB2312"/>
          <w:sz w:val="32"/>
          <w:szCs w:val="32"/>
          <w:lang w:val="zh-CN"/>
        </w:rPr>
      </w:pPr>
    </w:p>
    <w:p w14:paraId="349015D4">
      <w:pPr>
        <w:spacing w:line="600" w:lineRule="exact"/>
        <w:jc w:val="center"/>
        <w:rPr>
          <w:rFonts w:hint="eastAsia" w:eastAsia="仿宋_GB2312"/>
          <w:sz w:val="32"/>
          <w:szCs w:val="32"/>
          <w:lang w:val="zh-CN"/>
        </w:rPr>
      </w:pPr>
    </w:p>
    <w:p w14:paraId="264ED18F">
      <w:pPr>
        <w:spacing w:line="600" w:lineRule="exact"/>
        <w:jc w:val="center"/>
        <w:rPr>
          <w:rFonts w:hint="eastAsia" w:eastAsia="仿宋_GB2312"/>
          <w:sz w:val="32"/>
          <w:szCs w:val="32"/>
          <w:lang w:val="zh-CN"/>
        </w:rPr>
      </w:pPr>
    </w:p>
    <w:p w14:paraId="76B0B65D">
      <w:pPr>
        <w:spacing w:line="600" w:lineRule="exact"/>
        <w:jc w:val="center"/>
        <w:rPr>
          <w:rFonts w:hint="eastAsia" w:eastAsia="仿宋_GB2312"/>
          <w:sz w:val="32"/>
          <w:szCs w:val="32"/>
          <w:lang w:val="zh-CN"/>
        </w:rPr>
      </w:pPr>
    </w:p>
    <w:p w14:paraId="1C954CB2">
      <w:pPr>
        <w:spacing w:line="600" w:lineRule="exact"/>
        <w:jc w:val="center"/>
        <w:rPr>
          <w:rFonts w:hint="eastAsia" w:eastAsia="仿宋_GB2312"/>
          <w:sz w:val="32"/>
          <w:szCs w:val="32"/>
          <w:lang w:val="zh-CN"/>
        </w:rPr>
      </w:pPr>
    </w:p>
    <w:p w14:paraId="73C6A340">
      <w:pPr>
        <w:spacing w:line="600" w:lineRule="exact"/>
        <w:jc w:val="center"/>
        <w:rPr>
          <w:rFonts w:hint="eastAsia" w:eastAsia="仿宋_GB2312"/>
          <w:sz w:val="32"/>
          <w:szCs w:val="32"/>
          <w:lang w:val="zh-CN"/>
        </w:rPr>
      </w:pPr>
    </w:p>
    <w:p w14:paraId="65CDD6AA">
      <w:pPr>
        <w:spacing w:line="600" w:lineRule="exact"/>
        <w:jc w:val="center"/>
        <w:rPr>
          <w:rFonts w:hint="eastAsia" w:eastAsia="仿宋_GB2312"/>
          <w:sz w:val="32"/>
          <w:szCs w:val="32"/>
          <w:lang w:val="zh-CN"/>
        </w:rPr>
      </w:pPr>
    </w:p>
    <w:p w14:paraId="20C5D61B">
      <w:pPr>
        <w:spacing w:line="600" w:lineRule="exact"/>
        <w:jc w:val="center"/>
        <w:rPr>
          <w:rFonts w:hint="eastAsia" w:eastAsia="方正小标宋简体"/>
          <w:sz w:val="40"/>
          <w:szCs w:val="40"/>
          <w:lang w:val="zh-CN"/>
        </w:rPr>
      </w:pPr>
      <w:r>
        <w:rPr>
          <w:rFonts w:hint="eastAsia" w:eastAsia="方正小标宋简体"/>
          <w:sz w:val="40"/>
          <w:szCs w:val="40"/>
          <w:lang w:val="zh-CN"/>
        </w:rPr>
        <w:t>四川省攀枝花市中西医结合医院</w:t>
      </w:r>
    </w:p>
    <w:p w14:paraId="64A2BBE6">
      <w:pPr>
        <w:spacing w:line="600" w:lineRule="exact"/>
        <w:jc w:val="center"/>
        <w:rPr>
          <w:rFonts w:hint="eastAsia" w:eastAsia="方正小标宋简体"/>
          <w:sz w:val="40"/>
          <w:szCs w:val="40"/>
          <w:lang w:val="zh-CN"/>
        </w:rPr>
      </w:pPr>
      <w:r>
        <w:rPr>
          <w:rFonts w:hint="eastAsia" w:eastAsia="方正小标宋简体"/>
          <w:sz w:val="40"/>
          <w:szCs w:val="40"/>
          <w:lang w:val="zh-CN"/>
        </w:rPr>
        <w:t>住院医师规范化培训项目中央资金</w:t>
      </w:r>
    </w:p>
    <w:p w14:paraId="09FCE6F5">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14:paraId="4A80B1BB">
      <w:pPr>
        <w:spacing w:line="600" w:lineRule="exact"/>
        <w:ind w:firstLine="640"/>
        <w:jc w:val="center"/>
        <w:rPr>
          <w:sz w:val="32"/>
          <w:szCs w:val="32"/>
          <w:lang w:val="zh-CN"/>
        </w:rPr>
      </w:pPr>
    </w:p>
    <w:p w14:paraId="4745FCAA">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14:paraId="04315CE2">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14:paraId="1FB86F52">
      <w:pPr>
        <w:spacing w:line="600" w:lineRule="exact"/>
        <w:ind w:firstLine="640" w:firstLineChars="200"/>
        <w:rPr>
          <w:rFonts w:ascii="方正仿宋_GB2312" w:hAnsi="方正仿宋_GB2312" w:eastAsia="方正仿宋_GB2312" w:cs="方正仿宋_GB2312"/>
          <w:sz w:val="32"/>
          <w:szCs w:val="32"/>
        </w:rPr>
      </w:pPr>
      <w:r>
        <w:rPr>
          <w:rFonts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项目主管部门职能  </w:t>
      </w:r>
    </w:p>
    <w:p w14:paraId="195BA376">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作为住院医师规范化培训（以下简称“住培”）项目的主管部门，负责制定住培政策、统筹资金分配、监督项目实施，并对培训效果进行评估，确保培训质量和资金使用效益。</w:t>
      </w:r>
    </w:p>
    <w:p w14:paraId="72482E08">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项目立项及资金申报依据  </w:t>
      </w:r>
    </w:p>
    <w:p w14:paraId="0AEF62A7">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项目依据国家卫生健康委《关于建立住院医师规范化培训制度的指导意见》（国卫科教发〔2013〕56号）及财政部相关预算管理要求立项，旨在通过专项预算支持住院医师规范化培训，提升临床医师队伍整体素质。</w:t>
      </w:r>
    </w:p>
    <w:p w14:paraId="7B4709D8">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3.资</w:t>
      </w:r>
      <w:r>
        <w:rPr>
          <w:rFonts w:hint="eastAsia" w:ascii="方正仿宋_GB2312" w:hAnsi="方正仿宋_GB2312" w:eastAsia="方正仿宋_GB2312" w:cs="方正仿宋_GB2312"/>
          <w:sz w:val="32"/>
          <w:szCs w:val="32"/>
        </w:rPr>
        <w:t xml:space="preserve">金管理办法及支持方式  </w:t>
      </w:r>
    </w:p>
    <w:p w14:paraId="6F48BD3A">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按照《住院医师规范化培训和助理全科医生培训专项经费使用方案（修订）》（攀学院附医〔2021〕88号），明确了资金支持的范围、分配原则及使用方式。</w:t>
      </w:r>
    </w:p>
    <w:p w14:paraId="475DF79B">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4.</w:t>
      </w:r>
      <w:r>
        <w:rPr>
          <w:rFonts w:hint="eastAsia" w:ascii="方正仿宋_GB2312" w:hAnsi="方正仿宋_GB2312" w:eastAsia="方正仿宋_GB2312" w:cs="方正仿宋_GB2312"/>
          <w:sz w:val="32"/>
          <w:szCs w:val="32"/>
        </w:rPr>
        <w:t xml:space="preserve">资金分配原则及因素  </w:t>
      </w:r>
    </w:p>
    <w:p w14:paraId="09A6065E">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资金分配以培训人数和培训质量为核心因素，确保资金分配的公平性和有效性。将专项资金80%用于学员补助，每人每月补助2000元；将专项资金20%用于教学活动补助、管理人员津贴等，按季度统计进行发放。</w:t>
      </w:r>
    </w:p>
    <w:p w14:paraId="2C137D88">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14:paraId="7160DF4E">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项目主要内容  </w:t>
      </w:r>
    </w:p>
    <w:p w14:paraId="14BB759F">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本项目旨在通过专项预算支持住培工作，包括理论学习、临床实践、考核评估及师资教学活动等。</w:t>
      </w:r>
    </w:p>
    <w:p w14:paraId="441BEE76">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具体绩效目标  </w:t>
      </w:r>
    </w:p>
    <w:p w14:paraId="67533A4B">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数量目标：培训住院医师182人（2023级-2025级学员），覆盖14个专业基地。  </w:t>
      </w:r>
    </w:p>
    <w:p w14:paraId="69E4E076">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质量目标：结业考核通过率达到95%以上。  </w:t>
      </w:r>
    </w:p>
    <w:p w14:paraId="42051467">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时效目标：2025.8-2026.7内完成培训任务。  </w:t>
      </w:r>
    </w:p>
    <w:p w14:paraId="57B784CA">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成本目标：人均经费控制在3万元以内。  </w:t>
      </w:r>
    </w:p>
    <w:p w14:paraId="57F31DD0">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-效益目标：提升培训基地的教学能力和学员的临床综合技能，服务对象满意度达到95%及以上。</w:t>
      </w:r>
    </w:p>
    <w:p w14:paraId="1639AA8F">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3.</w:t>
      </w:r>
      <w:r>
        <w:rPr>
          <w:rFonts w:hint="eastAsia" w:ascii="方正仿宋_GB2312" w:hAnsi="方正仿宋_GB2312" w:eastAsia="方正仿宋_GB2312" w:cs="方正仿宋_GB2312"/>
          <w:sz w:val="32"/>
          <w:szCs w:val="32"/>
        </w:rPr>
        <w:t xml:space="preserve">申报内容与实际相符性  </w:t>
      </w:r>
    </w:p>
    <w:p w14:paraId="2510A4EB">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申报内容与实际实施情况基本相符，目标设定合理可行，符合国家住培政策要求。</w:t>
      </w:r>
    </w:p>
    <w:p w14:paraId="4D109E2B">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60A3BA54">
      <w:pPr>
        <w:spacing w:line="600" w:lineRule="exact"/>
        <w:ind w:firstLine="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组织实施步骤  </w:t>
      </w:r>
    </w:p>
    <w:p w14:paraId="0CC0CE20">
      <w:pPr>
        <w:spacing w:line="600" w:lineRule="exact"/>
        <w:ind w:firstLine="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收集整理项目相关资料，包括资金使用凭证、培训记录、考核结果等。  </w:t>
      </w:r>
    </w:p>
    <w:p w14:paraId="2EC5DA14">
      <w:pPr>
        <w:spacing w:line="600" w:lineRule="exact"/>
        <w:ind w:firstLine="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开展实地调研，了解项目实施情况及存在问题。  </w:t>
      </w:r>
    </w:p>
    <w:p w14:paraId="237BF0DB">
      <w:pPr>
        <w:spacing w:line="600" w:lineRule="exact"/>
        <w:ind w:firstLine="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综合分析数据，撰写自评报告。</w:t>
      </w:r>
    </w:p>
    <w:p w14:paraId="070CF225">
      <w:pPr>
        <w:spacing w:line="600" w:lineRule="exact"/>
        <w:ind w:firstLine="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自评方法  </w:t>
      </w:r>
    </w:p>
    <w:p w14:paraId="24312358">
      <w:pPr>
        <w:spacing w:line="600" w:lineRule="exact"/>
        <w:ind w:firstLine="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采用定量与定性相结合的方法，通过数据统计、现场检查等方式，全面评估项目绩效。</w:t>
      </w:r>
    </w:p>
    <w:p w14:paraId="4BCCB8A8">
      <w:pPr>
        <w:adjustRightInd w:val="0"/>
        <w:snapToGrid w:val="0"/>
        <w:spacing w:line="600" w:lineRule="exact"/>
        <w:ind w:firstLine="720"/>
        <w:rPr>
          <w:rFonts w:eastAsia="黑体"/>
          <w:sz w:val="32"/>
          <w:szCs w:val="32"/>
        </w:rPr>
      </w:pPr>
      <w:r>
        <w:rPr>
          <w:rFonts w:eastAsia="黑体"/>
          <w:sz w:val="32"/>
          <w:szCs w:val="32"/>
        </w:rPr>
        <w:t>二、项目资金申报及使用情况</w:t>
      </w:r>
    </w:p>
    <w:p w14:paraId="2FA95C0A">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14:paraId="543EA9D3">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资金申报程序  </w:t>
      </w:r>
    </w:p>
    <w:p w14:paraId="059741B5">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2025年，根据住培需求编制预算，向财政部申报中央专项预算资金546万元，主要用于学员补助及教学活动补助等。</w:t>
      </w:r>
    </w:p>
    <w:p w14:paraId="71EC5C4B">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资金批复情况  </w:t>
      </w:r>
    </w:p>
    <w:p w14:paraId="3E04C825">
      <w:pPr>
        <w:spacing w:line="600" w:lineRule="exact"/>
        <w:ind w:firstLine="640" w:firstLineChars="200"/>
        <w:rPr>
          <w:rFonts w:eastAsia="仿宋_GB2312"/>
          <w:sz w:val="32"/>
          <w:szCs w:val="32"/>
          <w:lang w:val="zh-CN"/>
        </w:rPr>
      </w:pPr>
      <w:r>
        <w:rPr>
          <w:rFonts w:hint="eastAsia" w:ascii="方正仿宋_GB2312" w:hAnsi="方正仿宋_GB2312" w:eastAsia="方正仿宋_GB2312" w:cs="方正仿宋_GB2312"/>
          <w:sz w:val="32"/>
          <w:szCs w:val="32"/>
        </w:rPr>
        <w:t>财政部批复预算资金546万元，资金已全部下达至医院。</w:t>
      </w:r>
    </w:p>
    <w:p w14:paraId="50854856">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14:paraId="3F89084A">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资金计划。中央财政资金：546万元。  </w:t>
      </w:r>
    </w:p>
    <w:p w14:paraId="366AEFEC">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资金到位。中央财政资金546万元已全部到位，到位率为100%。</w:t>
      </w:r>
    </w:p>
    <w:p w14:paraId="76EF4A4A">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3.</w:t>
      </w:r>
      <w:r>
        <w:rPr>
          <w:rFonts w:hint="eastAsia" w:ascii="方正仿宋_GB2312" w:hAnsi="方正仿宋_GB2312" w:eastAsia="方正仿宋_GB2312" w:cs="方正仿宋_GB2312"/>
          <w:sz w:val="32"/>
          <w:szCs w:val="32"/>
        </w:rPr>
        <w:t>资金使用。</w:t>
      </w:r>
    </w:p>
    <w:p w14:paraId="7DB3B01C">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学员培训补助：436.8万元（占总支出80%）。  </w:t>
      </w:r>
    </w:p>
    <w:p w14:paraId="0742BC48">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教学补助等：109.2万元（占总支出20%）。  </w:t>
      </w:r>
    </w:p>
    <w:p w14:paraId="2F22D9FC">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相关补助按月</w:t>
      </w:r>
      <w:r>
        <w:rPr>
          <w:rFonts w:hint="eastAsia" w:ascii="方正仿宋_GB2312" w:hAnsi="方正仿宋_GB2312" w:eastAsia="方正仿宋_GB2312" w:cs="方正仿宋_GB2312"/>
          <w:sz w:val="32"/>
          <w:szCs w:val="32"/>
          <w:lang w:eastAsia="zh-CN"/>
        </w:rPr>
        <w:t>或</w:t>
      </w:r>
      <w:r>
        <w:rPr>
          <w:rFonts w:hint="eastAsia" w:ascii="方正仿宋_GB2312" w:hAnsi="方正仿宋_GB2312" w:eastAsia="方正仿宋_GB2312" w:cs="方正仿宋_GB2312"/>
          <w:sz w:val="32"/>
          <w:szCs w:val="32"/>
        </w:rPr>
        <w:t>季度发放，预计按进度</w:t>
      </w:r>
      <w:r>
        <w:rPr>
          <w:rFonts w:hint="eastAsia" w:ascii="方正仿宋_GB2312" w:hAnsi="方正仿宋_GB2312" w:eastAsia="方正仿宋_GB2312" w:cs="方正仿宋_GB2312"/>
          <w:sz w:val="32"/>
          <w:szCs w:val="32"/>
          <w:lang w:eastAsia="zh-CN"/>
        </w:rPr>
        <w:t>截至</w:t>
      </w:r>
      <w:r>
        <w:rPr>
          <w:rFonts w:hint="eastAsia" w:ascii="方正仿宋_GB2312" w:hAnsi="方正仿宋_GB2312" w:eastAsia="方正仿宋_GB2312" w:cs="方正仿宋_GB2312"/>
          <w:sz w:val="32"/>
          <w:szCs w:val="32"/>
        </w:rPr>
        <w:t>2026.7</w:t>
      </w:r>
      <w:r>
        <w:rPr>
          <w:rFonts w:hint="eastAsia" w:ascii="方正仿宋_GB2312" w:hAnsi="方正仿宋_GB2312" w:eastAsia="方正仿宋_GB2312" w:cs="方正仿宋_GB2312"/>
          <w:sz w:val="32"/>
          <w:szCs w:val="32"/>
          <w:lang w:eastAsia="zh-CN"/>
        </w:rPr>
        <w:t>，资金</w:t>
      </w:r>
      <w:r>
        <w:rPr>
          <w:rFonts w:hint="eastAsia" w:ascii="方正仿宋_GB2312" w:hAnsi="方正仿宋_GB2312" w:eastAsia="方正仿宋_GB2312" w:cs="方正仿宋_GB2312"/>
          <w:sz w:val="32"/>
          <w:szCs w:val="32"/>
        </w:rPr>
        <w:t>执行率达100%。</w:t>
      </w:r>
    </w:p>
    <w:p w14:paraId="7D3DF54E">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资金使用严格遵守财务管理制度，支付范围、标准及进度符合预算要求。</w:t>
      </w:r>
    </w:p>
    <w:p w14:paraId="6EFF86AD">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14:paraId="204EE129">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培训基地财务管理制度健全，资金使用规范，账务处理及时，未发现违规使用资金的情况。</w:t>
      </w:r>
    </w:p>
    <w:p w14:paraId="105487EC">
      <w:pPr>
        <w:adjustRightInd w:val="0"/>
        <w:snapToGrid w:val="0"/>
        <w:spacing w:line="600" w:lineRule="exact"/>
        <w:ind w:firstLine="720"/>
        <w:rPr>
          <w:rFonts w:eastAsia="仿宋_GB2312"/>
          <w:sz w:val="32"/>
          <w:szCs w:val="32"/>
          <w:lang w:val="zh-CN"/>
        </w:rPr>
      </w:pPr>
      <w:r>
        <w:rPr>
          <w:rFonts w:eastAsia="黑体"/>
          <w:sz w:val="32"/>
          <w:szCs w:val="32"/>
        </w:rPr>
        <w:t>三、项目实施及管理情况</w:t>
      </w:r>
    </w:p>
    <w:p w14:paraId="45B69EAF">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14:paraId="2E3D16AD">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组织架构  </w:t>
      </w:r>
    </w:p>
    <w:p w14:paraId="00F67D27">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成立住培项目管理办公室，负责项目统筹协调；培训基地设立住培管理部门，具体负责培训实施。</w:t>
      </w:r>
    </w:p>
    <w:p w14:paraId="478FE740">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2.实</w:t>
      </w:r>
      <w:r>
        <w:rPr>
          <w:rFonts w:hint="eastAsia" w:ascii="方正仿宋_GB2312" w:hAnsi="方正仿宋_GB2312" w:eastAsia="方正仿宋_GB2312" w:cs="方正仿宋_GB2312"/>
          <w:sz w:val="32"/>
          <w:szCs w:val="32"/>
        </w:rPr>
        <w:t xml:space="preserve">施流程  </w:t>
      </w:r>
    </w:p>
    <w:p w14:paraId="6A331658">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制定培训计划，明确培训目标和内容。  </w:t>
      </w:r>
    </w:p>
    <w:p w14:paraId="50A69BB2">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组织学员招录，确保公平公正。  </w:t>
      </w:r>
    </w:p>
    <w:p w14:paraId="2F959D58">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开展临床实践和综合培训，定期考核评估。  </w:t>
      </w:r>
    </w:p>
    <w:p w14:paraId="213AD430">
      <w:pPr>
        <w:spacing w:line="600" w:lineRule="exact"/>
        <w:ind w:firstLine="640" w:firstLineChars="200"/>
        <w:rPr>
          <w:lang w:val="zh-CN"/>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汇总培训数据，提交绩效报告。</w:t>
      </w:r>
    </w:p>
    <w:p w14:paraId="2FD89E62">
      <w:pPr>
        <w:numPr>
          <w:ilvl w:val="0"/>
          <w:numId w:val="3"/>
        </w:numPr>
        <w:spacing w:line="600" w:lineRule="exact"/>
        <w:ind w:firstLine="643" w:firstLineChars="200"/>
        <w:rPr>
          <w:rFonts w:eastAsia="楷体_GB2312"/>
          <w:b/>
          <w:sz w:val="32"/>
          <w:szCs w:val="32"/>
          <w:lang w:val="zh-CN"/>
        </w:rPr>
      </w:pPr>
      <w:r>
        <w:rPr>
          <w:rFonts w:eastAsia="楷体_GB2312"/>
          <w:b/>
          <w:sz w:val="32"/>
          <w:szCs w:val="32"/>
          <w:lang w:val="zh-CN"/>
        </w:rPr>
        <w:t>项目管理情况。</w:t>
      </w:r>
    </w:p>
    <w:p w14:paraId="0046F973">
      <w:pPr>
        <w:numPr>
          <w:ilvl w:val="0"/>
          <w:numId w:val="0"/>
        </w:num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制度执行情况  </w:t>
      </w:r>
    </w:p>
    <w:p w14:paraId="1C0A4DE6">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严格按照相关制度执行，确保项目实施的公开透明。</w:t>
      </w:r>
    </w:p>
    <w:p w14:paraId="31F6F1F1">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培训管理  </w:t>
      </w:r>
    </w:p>
    <w:p w14:paraId="187E03B8">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培训基地严格执行住培细则，确保培训质量和学员安全。</w:t>
      </w:r>
    </w:p>
    <w:p w14:paraId="22A7F3AE">
      <w:pPr>
        <w:numPr>
          <w:ilvl w:val="0"/>
          <w:numId w:val="3"/>
        </w:numPr>
        <w:spacing w:line="600" w:lineRule="exact"/>
        <w:ind w:left="0" w:leftChars="0" w:firstLine="643" w:firstLineChars="200"/>
        <w:rPr>
          <w:rFonts w:eastAsia="楷体_GB2312"/>
          <w:b/>
          <w:sz w:val="32"/>
          <w:szCs w:val="32"/>
          <w:lang w:val="zh-CN"/>
        </w:rPr>
      </w:pPr>
      <w:r>
        <w:rPr>
          <w:rFonts w:eastAsia="楷体_GB2312"/>
          <w:b/>
          <w:sz w:val="32"/>
          <w:szCs w:val="32"/>
          <w:lang w:val="zh-CN"/>
        </w:rPr>
        <w:t>项目监管情况。</w:t>
      </w:r>
    </w:p>
    <w:p w14:paraId="4E78A5E7">
      <w:pPr>
        <w:numPr>
          <w:ilvl w:val="0"/>
          <w:numId w:val="0"/>
        </w:numPr>
        <w:spacing w:line="600" w:lineRule="exact"/>
        <w:ind w:leftChars="200" w:firstLine="320" w:firstLineChars="1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监管手段  </w:t>
      </w:r>
    </w:p>
    <w:p w14:paraId="4519D050">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通过定期检查、不定期抽查等方式，加强对项目实施的监管。</w:t>
      </w:r>
    </w:p>
    <w:p w14:paraId="4B0292A3">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监管效果  </w:t>
      </w:r>
    </w:p>
    <w:p w14:paraId="0A199873">
      <w:pPr>
        <w:adjustRightInd w:val="0"/>
        <w:snapToGrid w:val="0"/>
        <w:spacing w:line="600" w:lineRule="exact"/>
        <w:ind w:firstLine="72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项目实施总体规范，未发现重大违规行为。</w:t>
      </w:r>
    </w:p>
    <w:p w14:paraId="53E11C77">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14:paraId="1F821A16">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14:paraId="1E407479">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数量目标  </w:t>
      </w:r>
    </w:p>
    <w:p w14:paraId="529B5960">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培训住院医师180人（2025.8至今退培2人），完成率98.9%。  </w:t>
      </w:r>
    </w:p>
    <w:p w14:paraId="7F08B2A1">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培训基地覆盖14个专业基地，完成率100%。</w:t>
      </w:r>
    </w:p>
    <w:p w14:paraId="2A5EC46D">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质量目标  </w:t>
      </w:r>
    </w:p>
    <w:p w14:paraId="4912F1AE">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预期结业考核通过率99%，计划超过目标值2个百分点（2023级学员结业时间2026.7）。 </w:t>
      </w:r>
    </w:p>
    <w:p w14:paraId="78649696">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预期师资培训完成率100%（2026</w:t>
      </w:r>
      <w:r>
        <w:rPr>
          <w:rFonts w:hint="eastAsia" w:ascii="方正仿宋_GB2312" w:hAnsi="方正仿宋_GB2312" w:eastAsia="方正仿宋_GB2312" w:cs="方正仿宋_GB2312"/>
          <w:sz w:val="32"/>
          <w:szCs w:val="32"/>
          <w:lang w:eastAsia="zh-CN"/>
        </w:rPr>
        <w:t>年二季度</w:t>
      </w:r>
      <w:r>
        <w:rPr>
          <w:rFonts w:hint="eastAsia" w:ascii="方正仿宋_GB2312" w:hAnsi="方正仿宋_GB2312" w:eastAsia="方正仿宋_GB2312" w:cs="方正仿宋_GB2312"/>
          <w:sz w:val="32"/>
          <w:szCs w:val="32"/>
        </w:rPr>
        <w:t>完成培训）。</w:t>
      </w:r>
    </w:p>
    <w:p w14:paraId="03786597">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3.</w:t>
      </w:r>
      <w:r>
        <w:rPr>
          <w:rFonts w:hint="eastAsia" w:ascii="方正仿宋_GB2312" w:hAnsi="方正仿宋_GB2312" w:eastAsia="方正仿宋_GB2312" w:cs="方正仿宋_GB2312"/>
          <w:sz w:val="32"/>
          <w:szCs w:val="32"/>
        </w:rPr>
        <w:t xml:space="preserve">时效目标  </w:t>
      </w:r>
    </w:p>
    <w:p w14:paraId="4EC01B75">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培训任务按时完成，无延误情况。</w:t>
      </w:r>
    </w:p>
    <w:p w14:paraId="501F3BBB">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4.</w:t>
      </w:r>
      <w:r>
        <w:rPr>
          <w:rFonts w:hint="eastAsia" w:ascii="方正仿宋_GB2312" w:hAnsi="方正仿宋_GB2312" w:eastAsia="方正仿宋_GB2312" w:cs="方正仿宋_GB2312"/>
          <w:sz w:val="32"/>
          <w:szCs w:val="32"/>
        </w:rPr>
        <w:t xml:space="preserve">成本目标  </w:t>
      </w:r>
    </w:p>
    <w:p w14:paraId="018ABB3D">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人均经费3万元，控制在预算范围内。</w:t>
      </w:r>
    </w:p>
    <w:p w14:paraId="270C718C">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29BCC766">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社会效益  </w:t>
      </w:r>
    </w:p>
    <w:p w14:paraId="11338045">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通过住培项目的实施，提升了临床医师队伍整体素质，为医疗卫生事业发展提供了人才保障。</w:t>
      </w:r>
    </w:p>
    <w:p w14:paraId="23DD19DE">
      <w:pPr>
        <w:spacing w:line="600" w:lineRule="exact"/>
        <w:ind w:firstLine="640" w:firstLineChars="200"/>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服务对象满意度  </w:t>
      </w:r>
    </w:p>
    <w:p w14:paraId="132486C8">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学员满意度调查结果显示，满意度达到95%，达到目标值。</w:t>
      </w:r>
    </w:p>
    <w:p w14:paraId="63642060">
      <w:pPr>
        <w:adjustRightInd w:val="0"/>
        <w:snapToGrid w:val="0"/>
        <w:spacing w:line="600" w:lineRule="exact"/>
        <w:ind w:firstLine="720"/>
        <w:rPr>
          <w:rFonts w:eastAsia="黑体"/>
          <w:sz w:val="32"/>
          <w:szCs w:val="32"/>
        </w:rPr>
      </w:pPr>
      <w:r>
        <w:rPr>
          <w:rFonts w:eastAsia="黑体"/>
          <w:sz w:val="32"/>
          <w:szCs w:val="32"/>
        </w:rPr>
        <w:t>五、评价结论及建议</w:t>
      </w:r>
    </w:p>
    <w:p w14:paraId="6E8420BC">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14:paraId="35B50F52">
      <w:pPr>
        <w:spacing w:line="600" w:lineRule="exact"/>
        <w:ind w:firstLine="512" w:firstLineChars="16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本项目总体执行情况良好，资金使用规范，培训目标基本实现，社会效益显著。</w:t>
      </w:r>
    </w:p>
    <w:p w14:paraId="79F4376A">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14:paraId="5F36CE22">
      <w:pPr>
        <w:spacing w:line="600" w:lineRule="exact"/>
        <w:ind w:firstLine="640" w:firstLineChars="200"/>
        <w:rPr>
          <w:rFonts w:hint="eastAsia"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培训资源分布不均  </w:t>
      </w:r>
    </w:p>
    <w:p w14:paraId="02759A3D">
      <w:pPr>
        <w:spacing w:line="6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培训基地教学资源相对匮乏，影响培训质量。</w:t>
      </w:r>
    </w:p>
    <w:p w14:paraId="4813B8D2">
      <w:pPr>
        <w:spacing w:line="600" w:lineRule="exact"/>
        <w:ind w:firstLine="624" w:firstLineChars="195"/>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学员流动性较大  </w:t>
      </w:r>
    </w:p>
    <w:p w14:paraId="6B9704B3">
      <w:pPr>
        <w:adjustRightInd w:val="0"/>
        <w:snapToGrid w:val="0"/>
        <w:spacing w:line="600" w:lineRule="exact"/>
        <w:ind w:firstLine="640" w:firstLineChars="200"/>
        <w:rPr>
          <w:rFonts w:eastAsia="仿宋_GB2312"/>
          <w:sz w:val="32"/>
          <w:szCs w:val="32"/>
          <w:lang w:val="zh-CN"/>
        </w:rPr>
      </w:pPr>
      <w:r>
        <w:rPr>
          <w:rFonts w:hint="eastAsia" w:ascii="方正仿宋_GB2312" w:hAnsi="方正仿宋_GB2312" w:eastAsia="方正仿宋_GB2312" w:cs="方正仿宋_GB2312"/>
          <w:sz w:val="32"/>
          <w:szCs w:val="32"/>
        </w:rPr>
        <w:t>部分学员因个人原因中途退出，影响培训整体</w:t>
      </w:r>
      <w:r>
        <w:rPr>
          <w:rFonts w:hint="eastAsia" w:ascii="方正仿宋_GB2312" w:hAnsi="方正仿宋_GB2312" w:eastAsia="方正仿宋_GB2312" w:cs="方正仿宋_GB2312"/>
          <w:sz w:val="32"/>
          <w:szCs w:val="32"/>
          <w:lang w:eastAsia="zh-CN"/>
        </w:rPr>
        <w:t>效果。</w:t>
      </w:r>
      <w:r>
        <w:rPr>
          <w:rFonts w:eastAsia="仿宋_GB2312"/>
          <w:sz w:val="32"/>
          <w:szCs w:val="32"/>
          <w:lang w:val="zh-CN"/>
        </w:rPr>
        <w:tab/>
      </w:r>
    </w:p>
    <w:p w14:paraId="5758703C">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14:paraId="62C63F87">
      <w:pPr>
        <w:spacing w:line="600" w:lineRule="exact"/>
        <w:ind w:firstLine="624" w:firstLineChars="195"/>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 xml:space="preserve">加强培训基地建设  </w:t>
      </w:r>
    </w:p>
    <w:p w14:paraId="6C68D14F">
      <w:pPr>
        <w:spacing w:line="600" w:lineRule="exact"/>
        <w:ind w:firstLine="624" w:firstLineChars="195"/>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加大对资源匮乏地区的支持力度，提升培训基地整体水平。</w:t>
      </w:r>
    </w:p>
    <w:p w14:paraId="6D524A8C">
      <w:pPr>
        <w:spacing w:line="600" w:lineRule="exact"/>
        <w:ind w:firstLine="624" w:firstLineChars="195"/>
        <w:rPr>
          <w:rFonts w:ascii="方正仿宋_GB2312" w:hAnsi="方正仿宋_GB2312" w:eastAsia="方正仿宋_GB2312" w:cs="方正仿宋_GB2312"/>
          <w:sz w:val="32"/>
          <w:szCs w:val="32"/>
        </w:rPr>
      </w:pPr>
      <w:r>
        <w:rPr>
          <w:rFonts w:hint="eastAsia" w:ascii="Times New Roman" w:hAnsi="Times New Roman" w:eastAsia="方正仿宋_GB2312" w:cs="Times New Roman"/>
          <w:sz w:val="32"/>
          <w:szCs w:val="32"/>
        </w:rPr>
        <w:t>2.</w:t>
      </w:r>
      <w:r>
        <w:rPr>
          <w:rFonts w:hint="eastAsia" w:ascii="方正仿宋_GB2312" w:hAnsi="方正仿宋_GB2312" w:eastAsia="方正仿宋_GB2312" w:cs="方正仿宋_GB2312"/>
          <w:sz w:val="32"/>
          <w:szCs w:val="32"/>
        </w:rPr>
        <w:t xml:space="preserve">完善学员管理机制  </w:t>
      </w:r>
    </w:p>
    <w:p w14:paraId="11E09326">
      <w:pPr>
        <w:spacing w:line="600" w:lineRule="exact"/>
        <w:ind w:firstLine="624" w:firstLineChars="195"/>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建立学员退出补偿机制，减少因学员流失带来的影响。</w:t>
      </w:r>
    </w:p>
    <w:p w14:paraId="42E8FE53">
      <w:pPr>
        <w:widowControl/>
        <w:jc w:val="center"/>
        <w:rPr>
          <w:rFonts w:hint="eastAsia" w:eastAsia="黑体"/>
          <w:sz w:val="44"/>
          <w:szCs w:val="44"/>
        </w:rPr>
      </w:pPr>
    </w:p>
    <w:p w14:paraId="7A68259D">
      <w:pPr>
        <w:widowControl/>
        <w:jc w:val="center"/>
        <w:rPr>
          <w:rFonts w:hint="eastAsia" w:eastAsia="黑体"/>
          <w:sz w:val="44"/>
          <w:szCs w:val="44"/>
        </w:rPr>
      </w:pPr>
    </w:p>
    <w:p w14:paraId="19F00548">
      <w:pPr>
        <w:widowControl/>
        <w:jc w:val="center"/>
        <w:rPr>
          <w:rFonts w:hint="eastAsia" w:eastAsia="黑体"/>
          <w:sz w:val="44"/>
          <w:szCs w:val="44"/>
        </w:rPr>
      </w:pPr>
    </w:p>
    <w:p w14:paraId="7B73AD0F">
      <w:pPr>
        <w:widowControl/>
        <w:jc w:val="center"/>
        <w:rPr>
          <w:rFonts w:hint="eastAsia" w:eastAsia="黑体"/>
          <w:sz w:val="44"/>
          <w:szCs w:val="44"/>
        </w:rPr>
      </w:pPr>
    </w:p>
    <w:p w14:paraId="661F483A">
      <w:pPr>
        <w:widowControl/>
        <w:jc w:val="center"/>
        <w:rPr>
          <w:rFonts w:hint="eastAsia" w:eastAsia="黑体"/>
          <w:sz w:val="44"/>
          <w:szCs w:val="44"/>
        </w:rPr>
      </w:pPr>
    </w:p>
    <w:p w14:paraId="68201496">
      <w:pPr>
        <w:widowControl/>
        <w:jc w:val="center"/>
        <w:rPr>
          <w:rFonts w:hint="eastAsia" w:eastAsia="黑体"/>
          <w:sz w:val="44"/>
          <w:szCs w:val="44"/>
        </w:rPr>
      </w:pPr>
    </w:p>
    <w:p w14:paraId="4763F62A">
      <w:pPr>
        <w:widowControl/>
        <w:jc w:val="center"/>
        <w:rPr>
          <w:rFonts w:hint="eastAsia" w:eastAsia="黑体"/>
          <w:sz w:val="44"/>
          <w:szCs w:val="44"/>
        </w:rPr>
      </w:pPr>
    </w:p>
    <w:p w14:paraId="4A11087F">
      <w:pPr>
        <w:widowControl/>
        <w:jc w:val="center"/>
        <w:rPr>
          <w:rFonts w:hint="eastAsia" w:eastAsia="黑体"/>
          <w:sz w:val="44"/>
          <w:szCs w:val="44"/>
        </w:rPr>
      </w:pPr>
    </w:p>
    <w:p w14:paraId="57D5124A">
      <w:pPr>
        <w:widowControl/>
        <w:jc w:val="both"/>
        <w:rPr>
          <w:rFonts w:hint="eastAsia" w:eastAsia="黑体"/>
          <w:sz w:val="44"/>
          <w:szCs w:val="44"/>
        </w:rPr>
      </w:pPr>
    </w:p>
    <w:bookmarkEnd w:id="144"/>
    <w:bookmarkEnd w:id="158"/>
    <w:p w14:paraId="266CEFB2">
      <w:pPr>
        <w:pStyle w:val="3"/>
        <w:bidi w:val="0"/>
        <w:jc w:val="center"/>
        <w:rPr>
          <w:rFonts w:hint="eastAsia"/>
        </w:rPr>
      </w:pPr>
      <w:bookmarkStart w:id="159" w:name="_Toc26762"/>
      <w:bookmarkStart w:id="160" w:name="_Toc4755"/>
      <w:bookmarkStart w:id="161" w:name="_Toc22343"/>
      <w:bookmarkStart w:id="162" w:name="_Toc15975"/>
      <w:bookmarkStart w:id="163" w:name="_Toc16156"/>
      <w:bookmarkStart w:id="164" w:name="_Toc18296"/>
      <w:bookmarkStart w:id="165" w:name="_Toc30025"/>
      <w:bookmarkStart w:id="166" w:name="_Toc25530"/>
      <w:r>
        <w:rPr>
          <w:rFonts w:hint="eastAsia"/>
        </w:rPr>
        <w:t>第五部分 附表</w:t>
      </w:r>
      <w:bookmarkEnd w:id="159"/>
      <w:bookmarkEnd w:id="160"/>
      <w:bookmarkEnd w:id="161"/>
      <w:bookmarkEnd w:id="162"/>
      <w:bookmarkEnd w:id="163"/>
      <w:bookmarkEnd w:id="164"/>
      <w:bookmarkEnd w:id="165"/>
      <w:bookmarkEnd w:id="166"/>
      <w:bookmarkStart w:id="167" w:name="_Toc15396619"/>
    </w:p>
    <w:p w14:paraId="2D6ADDDF">
      <w:pPr>
        <w:pStyle w:val="4"/>
        <w:bidi w:val="0"/>
        <w:rPr>
          <w:rFonts w:hint="eastAsia"/>
          <w:b w:val="0"/>
          <w:bCs w:val="0"/>
          <w:lang w:val="zh-CN" w:eastAsia="zh-CN"/>
        </w:rPr>
      </w:pPr>
      <w:bookmarkStart w:id="168" w:name="_Toc3883"/>
      <w:bookmarkStart w:id="169" w:name="_Toc3355"/>
      <w:bookmarkStart w:id="170" w:name="_Toc11944"/>
      <w:bookmarkStart w:id="171" w:name="_Toc4676"/>
      <w:r>
        <w:rPr>
          <w:rFonts w:hint="eastAsia"/>
          <w:b w:val="0"/>
          <w:bCs w:val="0"/>
          <w:lang w:val="zh-CN" w:eastAsia="zh-CN"/>
        </w:rPr>
        <w:t>一、收入支出决算总表</w:t>
      </w:r>
      <w:bookmarkEnd w:id="167"/>
      <w:bookmarkEnd w:id="168"/>
      <w:bookmarkEnd w:id="169"/>
      <w:bookmarkEnd w:id="170"/>
      <w:bookmarkEnd w:id="171"/>
    </w:p>
    <w:p w14:paraId="083DC7B4">
      <w:pPr>
        <w:pStyle w:val="4"/>
        <w:bidi w:val="0"/>
        <w:rPr>
          <w:rFonts w:hint="eastAsia"/>
          <w:b w:val="0"/>
          <w:bCs w:val="0"/>
          <w:lang w:val="zh-CN" w:eastAsia="zh-CN"/>
        </w:rPr>
      </w:pPr>
      <w:bookmarkStart w:id="172" w:name="_Toc15396620"/>
      <w:bookmarkStart w:id="173" w:name="_Toc26388"/>
      <w:bookmarkStart w:id="174" w:name="_Toc21712"/>
      <w:bookmarkStart w:id="175" w:name="_Toc12423"/>
      <w:bookmarkStart w:id="176" w:name="_Toc3832"/>
      <w:r>
        <w:rPr>
          <w:rFonts w:hint="eastAsia"/>
          <w:b w:val="0"/>
          <w:bCs w:val="0"/>
          <w:lang w:val="zh-CN" w:eastAsia="zh-CN"/>
        </w:rPr>
        <w:t>二、收入决算表</w:t>
      </w:r>
      <w:bookmarkEnd w:id="172"/>
      <w:bookmarkEnd w:id="173"/>
      <w:bookmarkEnd w:id="174"/>
      <w:bookmarkEnd w:id="175"/>
      <w:bookmarkEnd w:id="176"/>
    </w:p>
    <w:p w14:paraId="5BEA3F5C">
      <w:pPr>
        <w:pStyle w:val="4"/>
        <w:bidi w:val="0"/>
        <w:rPr>
          <w:rFonts w:hint="eastAsia"/>
          <w:b w:val="0"/>
          <w:bCs w:val="0"/>
          <w:lang w:val="zh-CN" w:eastAsia="zh-CN"/>
        </w:rPr>
      </w:pPr>
      <w:bookmarkStart w:id="177" w:name="_Toc15396621"/>
      <w:bookmarkStart w:id="178" w:name="_Toc26406"/>
      <w:bookmarkStart w:id="179" w:name="_Toc11731"/>
      <w:r>
        <w:rPr>
          <w:rFonts w:hint="eastAsia"/>
          <w:b w:val="0"/>
          <w:bCs w:val="0"/>
          <w:lang w:val="zh-CN" w:eastAsia="zh-CN"/>
        </w:rPr>
        <w:t>三、支出决算表</w:t>
      </w:r>
      <w:bookmarkEnd w:id="177"/>
      <w:bookmarkEnd w:id="178"/>
      <w:bookmarkEnd w:id="179"/>
    </w:p>
    <w:p w14:paraId="35520CEC">
      <w:pPr>
        <w:pStyle w:val="4"/>
        <w:bidi w:val="0"/>
        <w:rPr>
          <w:rFonts w:hint="eastAsia"/>
          <w:b w:val="0"/>
          <w:bCs w:val="0"/>
          <w:lang w:val="zh-CN" w:eastAsia="zh-CN"/>
        </w:rPr>
      </w:pPr>
      <w:bookmarkStart w:id="180" w:name="_Toc15396622"/>
      <w:bookmarkStart w:id="181" w:name="_Toc31748"/>
      <w:bookmarkStart w:id="182" w:name="_Toc18572"/>
      <w:r>
        <w:rPr>
          <w:rFonts w:hint="eastAsia"/>
          <w:b w:val="0"/>
          <w:bCs w:val="0"/>
          <w:lang w:val="zh-CN" w:eastAsia="zh-CN"/>
        </w:rPr>
        <w:t>四、财政拨款收入支出决算总表</w:t>
      </w:r>
      <w:bookmarkEnd w:id="180"/>
      <w:bookmarkEnd w:id="181"/>
      <w:bookmarkEnd w:id="182"/>
    </w:p>
    <w:p w14:paraId="7ED8189B">
      <w:pPr>
        <w:pStyle w:val="4"/>
        <w:bidi w:val="0"/>
        <w:rPr>
          <w:rFonts w:hint="eastAsia"/>
          <w:b w:val="0"/>
          <w:bCs w:val="0"/>
          <w:lang w:val="zh-CN" w:eastAsia="zh-CN"/>
        </w:rPr>
      </w:pPr>
      <w:bookmarkStart w:id="183" w:name="_Toc15396623"/>
      <w:bookmarkStart w:id="184" w:name="_Toc2795"/>
      <w:bookmarkStart w:id="185" w:name="_Toc12280"/>
      <w:r>
        <w:rPr>
          <w:rFonts w:hint="eastAsia"/>
          <w:b w:val="0"/>
          <w:bCs w:val="0"/>
          <w:lang w:val="zh-CN" w:eastAsia="zh-CN"/>
        </w:rPr>
        <w:t>五、财政拨款支出决算明细表</w:t>
      </w:r>
      <w:bookmarkEnd w:id="183"/>
      <w:bookmarkEnd w:id="184"/>
      <w:bookmarkEnd w:id="185"/>
      <w:bookmarkStart w:id="186" w:name="_Toc15396624"/>
    </w:p>
    <w:p w14:paraId="5D04A365">
      <w:pPr>
        <w:pStyle w:val="4"/>
        <w:bidi w:val="0"/>
        <w:rPr>
          <w:rFonts w:hint="eastAsia"/>
          <w:b w:val="0"/>
          <w:bCs w:val="0"/>
          <w:lang w:val="zh-CN" w:eastAsia="zh-CN"/>
        </w:rPr>
      </w:pPr>
      <w:bookmarkStart w:id="187" w:name="_Toc20129"/>
      <w:bookmarkStart w:id="188" w:name="_Toc15009"/>
      <w:r>
        <w:rPr>
          <w:rFonts w:hint="eastAsia"/>
          <w:b w:val="0"/>
          <w:bCs w:val="0"/>
          <w:lang w:val="zh-CN" w:eastAsia="zh-CN"/>
        </w:rPr>
        <w:t>六、一般公共预算财政拨款支出决算表</w:t>
      </w:r>
      <w:bookmarkEnd w:id="186"/>
      <w:bookmarkEnd w:id="187"/>
      <w:bookmarkEnd w:id="188"/>
    </w:p>
    <w:p w14:paraId="203148E3">
      <w:pPr>
        <w:pStyle w:val="4"/>
        <w:bidi w:val="0"/>
        <w:rPr>
          <w:rFonts w:hint="eastAsia"/>
          <w:b w:val="0"/>
          <w:bCs w:val="0"/>
          <w:lang w:val="zh-CN" w:eastAsia="zh-CN"/>
        </w:rPr>
      </w:pPr>
      <w:bookmarkStart w:id="189" w:name="_Toc15396625"/>
      <w:bookmarkStart w:id="190" w:name="_Toc26476"/>
      <w:bookmarkStart w:id="191" w:name="_Toc24780"/>
      <w:r>
        <w:rPr>
          <w:rFonts w:hint="eastAsia"/>
          <w:b w:val="0"/>
          <w:bCs w:val="0"/>
          <w:lang w:val="zh-CN" w:eastAsia="zh-CN"/>
        </w:rPr>
        <w:t>七、一般公共预算财政拨款支出决算明细表</w:t>
      </w:r>
      <w:bookmarkEnd w:id="189"/>
      <w:bookmarkEnd w:id="190"/>
      <w:bookmarkEnd w:id="191"/>
    </w:p>
    <w:p w14:paraId="73085048">
      <w:pPr>
        <w:pStyle w:val="4"/>
        <w:bidi w:val="0"/>
        <w:rPr>
          <w:rFonts w:hint="eastAsia"/>
          <w:b w:val="0"/>
          <w:bCs w:val="0"/>
          <w:lang w:val="zh-CN" w:eastAsia="zh-CN"/>
        </w:rPr>
      </w:pPr>
      <w:bookmarkStart w:id="192" w:name="_Toc15396626"/>
      <w:bookmarkStart w:id="193" w:name="_Toc4530"/>
      <w:bookmarkStart w:id="194" w:name="_Toc16644"/>
      <w:r>
        <w:rPr>
          <w:rFonts w:hint="eastAsia"/>
          <w:b w:val="0"/>
          <w:bCs w:val="0"/>
          <w:lang w:val="zh-CN" w:eastAsia="zh-CN"/>
        </w:rPr>
        <w:t>八、一般公共预算财政拨款基本支出决算表</w:t>
      </w:r>
      <w:bookmarkEnd w:id="192"/>
      <w:bookmarkEnd w:id="193"/>
      <w:bookmarkEnd w:id="194"/>
    </w:p>
    <w:p w14:paraId="3267010E">
      <w:pPr>
        <w:pStyle w:val="4"/>
        <w:bidi w:val="0"/>
        <w:rPr>
          <w:rFonts w:hint="eastAsia"/>
          <w:b w:val="0"/>
          <w:bCs w:val="0"/>
          <w:lang w:val="zh-CN" w:eastAsia="zh-CN"/>
        </w:rPr>
      </w:pPr>
      <w:bookmarkStart w:id="195" w:name="_Toc15396627"/>
      <w:bookmarkStart w:id="196" w:name="_Toc5017"/>
      <w:bookmarkStart w:id="197" w:name="_Toc30881"/>
      <w:r>
        <w:rPr>
          <w:rFonts w:hint="eastAsia"/>
          <w:b w:val="0"/>
          <w:bCs w:val="0"/>
          <w:lang w:val="zh-CN" w:eastAsia="zh-CN"/>
        </w:rPr>
        <w:t>九、一般公共预算财政拨款项目支出决算表</w:t>
      </w:r>
      <w:bookmarkEnd w:id="195"/>
      <w:bookmarkEnd w:id="196"/>
      <w:bookmarkEnd w:id="197"/>
    </w:p>
    <w:p w14:paraId="32180E82">
      <w:pPr>
        <w:pStyle w:val="4"/>
        <w:bidi w:val="0"/>
        <w:rPr>
          <w:rFonts w:hint="eastAsia"/>
          <w:b w:val="0"/>
          <w:bCs w:val="0"/>
          <w:lang w:val="zh-CN" w:eastAsia="zh-CN"/>
        </w:rPr>
      </w:pPr>
      <w:bookmarkStart w:id="198" w:name="_Toc15396628"/>
      <w:bookmarkStart w:id="199" w:name="_Toc12205"/>
      <w:bookmarkStart w:id="200" w:name="_Toc6061"/>
      <w:r>
        <w:rPr>
          <w:rFonts w:hint="eastAsia"/>
          <w:b w:val="0"/>
          <w:bCs w:val="0"/>
          <w:lang w:val="zh-CN" w:eastAsia="zh-CN"/>
        </w:rPr>
        <w:t>十、</w:t>
      </w:r>
      <w:bookmarkEnd w:id="198"/>
      <w:r>
        <w:rPr>
          <w:rFonts w:hint="eastAsia"/>
          <w:b w:val="0"/>
          <w:bCs w:val="0"/>
          <w:lang w:val="zh-CN" w:eastAsia="zh-CN"/>
        </w:rPr>
        <w:t>政府性基金预算财政拨款收入支出决算表（此表无数据）</w:t>
      </w:r>
      <w:bookmarkEnd w:id="199"/>
      <w:bookmarkEnd w:id="200"/>
    </w:p>
    <w:p w14:paraId="72C71F66">
      <w:pPr>
        <w:pStyle w:val="4"/>
        <w:bidi w:val="0"/>
        <w:rPr>
          <w:rFonts w:hint="eastAsia"/>
          <w:b w:val="0"/>
          <w:bCs w:val="0"/>
          <w:lang w:val="zh-CN" w:eastAsia="zh-CN"/>
        </w:rPr>
      </w:pPr>
      <w:bookmarkStart w:id="201" w:name="_Toc15396629"/>
      <w:bookmarkStart w:id="202" w:name="_Toc19018"/>
      <w:bookmarkStart w:id="203" w:name="_Toc15564"/>
      <w:r>
        <w:rPr>
          <w:rFonts w:hint="eastAsia"/>
          <w:b w:val="0"/>
          <w:bCs w:val="0"/>
          <w:lang w:val="zh-CN" w:eastAsia="zh-CN"/>
        </w:rPr>
        <w:t>十一、</w:t>
      </w:r>
      <w:bookmarkEnd w:id="201"/>
      <w:r>
        <w:rPr>
          <w:rFonts w:hint="eastAsia"/>
          <w:b w:val="0"/>
          <w:bCs w:val="0"/>
          <w:lang w:val="zh-CN" w:eastAsia="zh-CN"/>
        </w:rPr>
        <w:t>国有资本经营预算财政拨款收入支出决算表（此表无数据）</w:t>
      </w:r>
      <w:bookmarkEnd w:id="202"/>
      <w:bookmarkEnd w:id="203"/>
    </w:p>
    <w:p w14:paraId="015DF940">
      <w:pPr>
        <w:pStyle w:val="4"/>
        <w:bidi w:val="0"/>
        <w:rPr>
          <w:rFonts w:hint="eastAsia"/>
          <w:b w:val="0"/>
          <w:bCs w:val="0"/>
          <w:lang w:val="zh-CN" w:eastAsia="zh-CN"/>
        </w:rPr>
      </w:pPr>
      <w:bookmarkStart w:id="204" w:name="_Toc15396630"/>
      <w:bookmarkStart w:id="205" w:name="_Toc29013"/>
      <w:bookmarkStart w:id="206" w:name="_Toc2774"/>
      <w:r>
        <w:rPr>
          <w:rFonts w:hint="eastAsia"/>
          <w:b w:val="0"/>
          <w:bCs w:val="0"/>
          <w:lang w:val="zh-CN" w:eastAsia="zh-CN"/>
        </w:rPr>
        <w:t>十二、</w:t>
      </w:r>
      <w:bookmarkEnd w:id="204"/>
      <w:r>
        <w:rPr>
          <w:rFonts w:hint="eastAsia"/>
          <w:b w:val="0"/>
          <w:bCs w:val="0"/>
          <w:lang w:val="zh-CN" w:eastAsia="zh-CN"/>
        </w:rPr>
        <w:t>国有资本经营预算财政拨款支出决算表</w:t>
      </w:r>
      <w:bookmarkStart w:id="207" w:name="_Toc15396631"/>
      <w:r>
        <w:rPr>
          <w:rFonts w:hint="eastAsia"/>
          <w:b w:val="0"/>
          <w:bCs w:val="0"/>
          <w:lang w:val="zh-CN" w:eastAsia="zh-CN"/>
        </w:rPr>
        <w:t>（此表无数据）</w:t>
      </w:r>
      <w:bookmarkEnd w:id="205"/>
      <w:bookmarkEnd w:id="206"/>
    </w:p>
    <w:p w14:paraId="4A80678C">
      <w:pPr>
        <w:pStyle w:val="4"/>
        <w:bidi w:val="0"/>
        <w:rPr>
          <w:rFonts w:hint="eastAsia"/>
          <w:lang w:val="zh-CN" w:eastAsia="zh-CN"/>
        </w:rPr>
      </w:pPr>
      <w:bookmarkStart w:id="208" w:name="_Toc3392"/>
      <w:bookmarkStart w:id="209" w:name="_Toc23541"/>
      <w:r>
        <w:rPr>
          <w:rFonts w:hint="eastAsia"/>
          <w:b w:val="0"/>
          <w:bCs w:val="0"/>
          <w:lang w:val="zh-CN" w:eastAsia="zh-CN"/>
        </w:rPr>
        <w:t>十三、</w:t>
      </w:r>
      <w:bookmarkEnd w:id="207"/>
      <w:r>
        <w:rPr>
          <w:rFonts w:hint="eastAsia"/>
          <w:b w:val="0"/>
          <w:bCs w:val="0"/>
          <w:lang w:val="zh-CN" w:eastAsia="zh-CN"/>
        </w:rPr>
        <w:t>财政拨款“三公”经费支出决算表（此表无数据）</w:t>
      </w:r>
      <w:bookmarkEnd w:id="208"/>
      <w:bookmarkEnd w:id="209"/>
    </w:p>
    <w:p w14:paraId="75975C72"/>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F86D09-A532-4B6B-AC77-4BACD7F9D23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5E8EA4E4-BA69-4AFD-BF56-BE522E625D25}"/>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3" w:fontKey="{F2123D85-BCF1-4267-911C-45AF30093603}"/>
  </w:font>
  <w:font w:name="仿宋">
    <w:panose1 w:val="02010609060101010101"/>
    <w:charset w:val="86"/>
    <w:family w:val="modern"/>
    <w:pitch w:val="default"/>
    <w:sig w:usb0="800002BF" w:usb1="38CF7CFA" w:usb2="00000016" w:usb3="00000000" w:csb0="00040001" w:csb1="00000000"/>
    <w:embedRegular r:id="rId4" w:fontKey="{B7BA2C03-8EF0-45A0-A4F4-305F96FD982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5" w:fontKey="{EE8FFE15-A2B2-4C1C-9037-4B5823904606}"/>
  </w:font>
  <w:font w:name="楷体_GB2312">
    <w:altName w:val="楷体"/>
    <w:panose1 w:val="02010609030101010101"/>
    <w:charset w:val="86"/>
    <w:family w:val="modern"/>
    <w:pitch w:val="default"/>
    <w:sig w:usb0="00000000" w:usb1="00000000" w:usb2="00000010" w:usb3="00000000" w:csb0="00040000" w:csb1="00000000"/>
    <w:embedRegular r:id="rId6" w:fontKey="{E7F6DC92-85A7-419C-980E-AD9EF1F32579}"/>
  </w:font>
  <w:font w:name="楷体">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7" w:fontKey="{4F38E5ED-74E0-41BD-8ECE-BC78460AB7CD}"/>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C139D">
    <w:pPr>
      <w:pStyle w:val="12"/>
      <w:jc w:val="center"/>
    </w:pPr>
  </w:p>
  <w:p w14:paraId="242AB85D">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97862">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CF1A3">
                          <w:pPr>
                            <w:pStyle w:val="1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8BCF1A3">
                    <w:pPr>
                      <w:pStyle w:val="12"/>
                    </w:pPr>
                  </w:p>
                </w:txbxContent>
              </v:textbox>
            </v:shape>
          </w:pict>
        </mc:Fallback>
      </mc:AlternateContent>
    </w:r>
  </w:p>
  <w:p w14:paraId="1FACAA61">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B26E5">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3FB814">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43FB814">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FB083">
    <w:pPr>
      <w:pStyle w:val="1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C949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F5C949B">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67D50B6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A8EA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54656D"/>
    <w:multiLevelType w:val="singleLevel"/>
    <w:tmpl w:val="D154656D"/>
    <w:lvl w:ilvl="0" w:tentative="0">
      <w:start w:val="1"/>
      <w:numFmt w:val="decimal"/>
      <w:lvlText w:val="%1."/>
      <w:lvlJc w:val="left"/>
      <w:pPr>
        <w:tabs>
          <w:tab w:val="left" w:pos="312"/>
        </w:tabs>
      </w:pPr>
    </w:lvl>
  </w:abstractNum>
  <w:abstractNum w:abstractNumId="1">
    <w:nsid w:val="F1964595"/>
    <w:multiLevelType w:val="singleLevel"/>
    <w:tmpl w:val="F1964595"/>
    <w:lvl w:ilvl="0" w:tentative="0">
      <w:start w:val="2"/>
      <w:numFmt w:val="chineseCounting"/>
      <w:suff w:val="nothing"/>
      <w:lvlText w:val="（%1）"/>
      <w:lvlJc w:val="left"/>
      <w:rPr>
        <w:rFonts w:hint="eastAsia"/>
      </w:rPr>
    </w:lvl>
  </w:abstractNum>
  <w:abstractNum w:abstractNumId="2">
    <w:nsid w:val="512EA74B"/>
    <w:multiLevelType w:val="singleLevel"/>
    <w:tmpl w:val="512EA74B"/>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2MWE0ZmQ5YTQwN2UzNTQwNTlhZjM2ODdmMTJlOW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5A71A8"/>
    <w:rsid w:val="02317B1B"/>
    <w:rsid w:val="02FEBE30"/>
    <w:rsid w:val="04407FDF"/>
    <w:rsid w:val="06110366"/>
    <w:rsid w:val="061E35DE"/>
    <w:rsid w:val="066E0107"/>
    <w:rsid w:val="07996F6E"/>
    <w:rsid w:val="07DFD8BA"/>
    <w:rsid w:val="08815F59"/>
    <w:rsid w:val="08DB07E4"/>
    <w:rsid w:val="09867E8F"/>
    <w:rsid w:val="09A70A22"/>
    <w:rsid w:val="0A2032A3"/>
    <w:rsid w:val="0C6C4794"/>
    <w:rsid w:val="0CA8290A"/>
    <w:rsid w:val="0D35B1ED"/>
    <w:rsid w:val="0DE07E2B"/>
    <w:rsid w:val="0F98263C"/>
    <w:rsid w:val="101860EC"/>
    <w:rsid w:val="105F0280"/>
    <w:rsid w:val="10C055FF"/>
    <w:rsid w:val="11772AA4"/>
    <w:rsid w:val="118107EC"/>
    <w:rsid w:val="11E93F48"/>
    <w:rsid w:val="13D50BC4"/>
    <w:rsid w:val="14022904"/>
    <w:rsid w:val="152F2A07"/>
    <w:rsid w:val="16497CCE"/>
    <w:rsid w:val="165E0673"/>
    <w:rsid w:val="16BB723D"/>
    <w:rsid w:val="16E650F8"/>
    <w:rsid w:val="172577D0"/>
    <w:rsid w:val="186504BB"/>
    <w:rsid w:val="1938089F"/>
    <w:rsid w:val="19A445FC"/>
    <w:rsid w:val="1A1B257A"/>
    <w:rsid w:val="1B7D550C"/>
    <w:rsid w:val="1BE8440E"/>
    <w:rsid w:val="1D155CEE"/>
    <w:rsid w:val="1D835B5B"/>
    <w:rsid w:val="1E740ACF"/>
    <w:rsid w:val="1E957931"/>
    <w:rsid w:val="1F063F80"/>
    <w:rsid w:val="1FF35744"/>
    <w:rsid w:val="1FF6BC77"/>
    <w:rsid w:val="21962A9E"/>
    <w:rsid w:val="21AE7C77"/>
    <w:rsid w:val="22BC3C41"/>
    <w:rsid w:val="23860B96"/>
    <w:rsid w:val="240371BF"/>
    <w:rsid w:val="24291E6A"/>
    <w:rsid w:val="257C7C0A"/>
    <w:rsid w:val="260F557C"/>
    <w:rsid w:val="281408E2"/>
    <w:rsid w:val="28A55402"/>
    <w:rsid w:val="29FD04D3"/>
    <w:rsid w:val="2A2F5D24"/>
    <w:rsid w:val="2A8371A4"/>
    <w:rsid w:val="2A8F6D4E"/>
    <w:rsid w:val="2BB570BC"/>
    <w:rsid w:val="2BC917DE"/>
    <w:rsid w:val="2BFF7BC6"/>
    <w:rsid w:val="2C8A61B5"/>
    <w:rsid w:val="2C95437A"/>
    <w:rsid w:val="2D2E01CF"/>
    <w:rsid w:val="2DF04E50"/>
    <w:rsid w:val="2E9545B0"/>
    <w:rsid w:val="2F040D46"/>
    <w:rsid w:val="2FAE5751"/>
    <w:rsid w:val="2FB1A395"/>
    <w:rsid w:val="2FD9A7D8"/>
    <w:rsid w:val="319F7F4E"/>
    <w:rsid w:val="321B2544"/>
    <w:rsid w:val="3304709D"/>
    <w:rsid w:val="33056189"/>
    <w:rsid w:val="34281836"/>
    <w:rsid w:val="349D6851"/>
    <w:rsid w:val="35BA6CAF"/>
    <w:rsid w:val="364D14C1"/>
    <w:rsid w:val="36AA5135"/>
    <w:rsid w:val="36BE0DA7"/>
    <w:rsid w:val="376B6AA6"/>
    <w:rsid w:val="376D39B2"/>
    <w:rsid w:val="37E16F03"/>
    <w:rsid w:val="37F53A3B"/>
    <w:rsid w:val="389B6C89"/>
    <w:rsid w:val="38D469F0"/>
    <w:rsid w:val="3952685B"/>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2E62FA7"/>
    <w:rsid w:val="43A407DF"/>
    <w:rsid w:val="44515BEA"/>
    <w:rsid w:val="44550E45"/>
    <w:rsid w:val="4481436E"/>
    <w:rsid w:val="44D34788"/>
    <w:rsid w:val="44E268DA"/>
    <w:rsid w:val="453F7E5B"/>
    <w:rsid w:val="45584FB3"/>
    <w:rsid w:val="486A6C7A"/>
    <w:rsid w:val="49176D9B"/>
    <w:rsid w:val="498C138F"/>
    <w:rsid w:val="4A627F82"/>
    <w:rsid w:val="4B0E749A"/>
    <w:rsid w:val="4B263808"/>
    <w:rsid w:val="4B4F25DA"/>
    <w:rsid w:val="4BDA0CFB"/>
    <w:rsid w:val="4BE068DB"/>
    <w:rsid w:val="4D3C0CCC"/>
    <w:rsid w:val="4D577224"/>
    <w:rsid w:val="4DBF1CEB"/>
    <w:rsid w:val="4DD268C0"/>
    <w:rsid w:val="4EAB630A"/>
    <w:rsid w:val="4ECE2238"/>
    <w:rsid w:val="4F833267"/>
    <w:rsid w:val="4FE9BD67"/>
    <w:rsid w:val="4FFB052F"/>
    <w:rsid w:val="51DC7997"/>
    <w:rsid w:val="53083A92"/>
    <w:rsid w:val="537E6D0A"/>
    <w:rsid w:val="53AF27A2"/>
    <w:rsid w:val="53F74C96"/>
    <w:rsid w:val="553731BC"/>
    <w:rsid w:val="561D4A89"/>
    <w:rsid w:val="56E47B74"/>
    <w:rsid w:val="57BD3DD4"/>
    <w:rsid w:val="596F62C5"/>
    <w:rsid w:val="5AEA4D61"/>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1D07906"/>
    <w:rsid w:val="62BF3928"/>
    <w:rsid w:val="647F5392"/>
    <w:rsid w:val="65856C59"/>
    <w:rsid w:val="664B1D71"/>
    <w:rsid w:val="67AA3209"/>
    <w:rsid w:val="681C4F0D"/>
    <w:rsid w:val="68C7429F"/>
    <w:rsid w:val="69046D0F"/>
    <w:rsid w:val="698D0931"/>
    <w:rsid w:val="69FA19C4"/>
    <w:rsid w:val="6A500B8B"/>
    <w:rsid w:val="6A993CED"/>
    <w:rsid w:val="6B053271"/>
    <w:rsid w:val="6B4E29E3"/>
    <w:rsid w:val="6BCE6674"/>
    <w:rsid w:val="6C4A05C8"/>
    <w:rsid w:val="6C8742B8"/>
    <w:rsid w:val="6C8A170F"/>
    <w:rsid w:val="6CB54609"/>
    <w:rsid w:val="6CED25F0"/>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DF38BD"/>
    <w:rsid w:val="74ED5379"/>
    <w:rsid w:val="74FC2395"/>
    <w:rsid w:val="75995495"/>
    <w:rsid w:val="759E7409"/>
    <w:rsid w:val="75DEEEC2"/>
    <w:rsid w:val="76D82B6F"/>
    <w:rsid w:val="76E3355F"/>
    <w:rsid w:val="76FF5125"/>
    <w:rsid w:val="776F6FFA"/>
    <w:rsid w:val="778769C8"/>
    <w:rsid w:val="77DC22F5"/>
    <w:rsid w:val="79086DAD"/>
    <w:rsid w:val="79974F09"/>
    <w:rsid w:val="79D7FD79"/>
    <w:rsid w:val="79EE5BA4"/>
    <w:rsid w:val="7A4F2055"/>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link w:val="37"/>
    <w:unhideWhenUsed/>
    <w:qFormat/>
    <w:uiPriority w:val="99"/>
    <w:pPr>
      <w:ind w:firstLine="420" w:firstLineChars="200"/>
    </w:pPr>
  </w:style>
  <w:style w:type="paragraph" w:styleId="9">
    <w:name w:val="toc 5"/>
    <w:basedOn w:val="1"/>
    <w:next w:val="1"/>
    <w:semiHidden/>
    <w:unhideWhenUsed/>
    <w:qFormat/>
    <w:uiPriority w:val="39"/>
    <w:pPr>
      <w:ind w:left="1680" w:leftChars="8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8"/>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9"/>
    <w:link w:val="3"/>
    <w:qFormat/>
    <w:uiPriority w:val="9"/>
    <w:rPr>
      <w:rFonts w:ascii="Times New Roman" w:hAnsi="Times New Roman"/>
      <w:b/>
      <w:bCs/>
      <w:kern w:val="44"/>
      <w:sz w:val="44"/>
      <w:szCs w:val="44"/>
    </w:rPr>
  </w:style>
  <w:style w:type="character" w:customStyle="1" w:styleId="31">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11"/>
    <w:semiHidden/>
    <w:qFormat/>
    <w:uiPriority w:val="99"/>
    <w:rPr>
      <w:rFonts w:ascii="Times New Roman" w:hAnsi="Times New Roman"/>
      <w:kern w:val="2"/>
      <w:sz w:val="18"/>
      <w:szCs w:val="18"/>
    </w:rPr>
  </w:style>
  <w:style w:type="character" w:customStyle="1" w:styleId="34">
    <w:name w:val="标题 3 Char"/>
    <w:basedOn w:val="19"/>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正文首行缩进 2 Char"/>
    <w:basedOn w:val="19"/>
    <w:link w:val="8"/>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984567464268"/>
          <c:y val="0.032784783367251"/>
          <c:w val="0.864173798551679"/>
          <c:h val="0.886493506493506"/>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Lbl>
              <c:idx val="0"/>
              <c:layout>
                <c:manualLayout>
                  <c:x val="0.0100141062564845"/>
                  <c:y val="0.0164509760912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78591979252915"/>
                  <c:y val="0.0334154087613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收入总计</c:v>
                </c:pt>
                <c:pt idx="1">
                  <c:v>支出总计</c:v>
                </c:pt>
              </c:strCache>
            </c:strRef>
          </c:cat>
          <c:val>
            <c:numRef>
              <c:f>Sheet1!$B$2:$B$5</c:f>
              <c:numCache>
                <c:formatCode>General</c:formatCode>
                <c:ptCount val="4"/>
                <c:pt idx="0">
                  <c:v>113900.62</c:v>
                </c:pt>
                <c:pt idx="1">
                  <c:v>113900.62</c:v>
                </c:pt>
              </c:numCache>
            </c:numRef>
          </c:val>
        </c:ser>
        <c:ser>
          <c:idx val="1"/>
          <c:order val="1"/>
          <c:tx>
            <c:strRef>
              <c:f>Sheet1!$C$1</c:f>
              <c:strCache>
                <c:ptCount val="1"/>
                <c:pt idx="0">
                  <c:v>2024年</c:v>
                </c:pt>
              </c:strCache>
            </c:strRef>
          </c:tx>
          <c:spPr>
            <a:solidFill>
              <a:schemeClr val="accent2"/>
            </a:solidFill>
            <a:ln>
              <a:noFill/>
            </a:ln>
            <a:effectLst/>
          </c:spPr>
          <c:invertIfNegative val="0"/>
          <c:dLbls>
            <c:dLbl>
              <c:idx val="0"/>
              <c:layout>
                <c:manualLayout>
                  <c:x val="0.073337848563134"/>
                  <c:y val="0.0856613563460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979643025949795"/>
                  <c:y val="0.1166939695287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收入总计</c:v>
                </c:pt>
                <c:pt idx="1">
                  <c:v>支出总计</c:v>
                </c:pt>
              </c:strCache>
            </c:strRef>
          </c:cat>
          <c:val>
            <c:numRef>
              <c:f>Sheet1!$C$2:$C$5</c:f>
              <c:numCache>
                <c:formatCode>0.00_ </c:formatCode>
                <c:ptCount val="4"/>
                <c:pt idx="0">
                  <c:v>113481.36</c:v>
                </c:pt>
                <c:pt idx="1">
                  <c:v>113481.36</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收入总计</c:v>
                </c:pt>
                <c:pt idx="1">
                  <c:v>支出总计</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999709252"/>
        <c:axId val="610180634"/>
      </c:barChart>
      <c:catAx>
        <c:axId val="9997092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180634"/>
        <c:crosses val="autoZero"/>
        <c:auto val="1"/>
        <c:lblAlgn val="ctr"/>
        <c:lblOffset val="100"/>
        <c:noMultiLvlLbl val="0"/>
      </c:catAx>
      <c:valAx>
        <c:axId val="61018063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9709252"/>
        <c:crosses val="autoZero"/>
        <c:crossBetween val="between"/>
      </c:valAx>
      <c:spPr>
        <a:noFill/>
        <a:ln>
          <a:noFill/>
        </a:ln>
        <a:effectLst/>
      </c:spPr>
    </c:plotArea>
    <c:legend>
      <c:legendPos val="b"/>
      <c:legendEntry>
        <c:idx val="2"/>
        <c:delete val="1"/>
      </c:legendEntry>
      <c:layout>
        <c:manualLayout>
          <c:xMode val="edge"/>
          <c:yMode val="edge"/>
          <c:x val="0.549912431070867"/>
          <c:y val="0.9112138165896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12e56e3-702d-42cb-b185-f880730ef3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248280489850696"/>
                  <c:y val="0.0222222222222222"/>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239892635463848"/>
                  <c:y val="-0.0555555555555556"/>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253313202482805"/>
                  <c:y val="0"/>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事业收入</c:v>
                </c:pt>
                <c:pt idx="2">
                  <c:v>其他收入</c:v>
                </c:pt>
              </c:strCache>
            </c:strRef>
          </c:cat>
          <c:val>
            <c:numRef>
              <c:f>Sheet1!$B$2:$B$4</c:f>
              <c:numCache>
                <c:formatCode>General</c:formatCode>
                <c:ptCount val="3"/>
                <c:pt idx="0">
                  <c:v>2879.58</c:v>
                </c:pt>
                <c:pt idx="1">
                  <c:v>92432.4</c:v>
                </c:pt>
                <c:pt idx="2">
                  <c:v>963.48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3563160543533"/>
          <c:y val="0.89266666666666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82a717b-df37-4746-b45d-14f60738083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22997817020481"/>
                  <c:y val="-0.148898333937251"/>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36404833836858"/>
                      <c:h val="0.235380654652446"/>
                    </c:manualLayout>
                  </c15:layout>
                </c:ext>
              </c:extLst>
            </c:dLbl>
            <c:dLbl>
              <c:idx val="1"/>
              <c:layout>
                <c:manualLayout>
                  <c:x val="-0.15936496556425"/>
                  <c:y val="0.0441338727473336"/>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83958.79</c:v>
                </c:pt>
                <c:pt idx="1">
                  <c:v>8641.25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edb4404-4b12-45c3-bdf5-6fadae9b43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2879.58</c:v>
                </c:pt>
                <c:pt idx="1">
                  <c:v>2879.58</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1717.33</c:v>
                </c:pt>
                <c:pt idx="1">
                  <c:v>1717.33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财政拨款收入</c:v>
                </c:pt>
                <c:pt idx="1">
                  <c:v>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388343129"/>
        <c:axId val="898091949"/>
      </c:barChart>
      <c:catAx>
        <c:axId val="388343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8091949"/>
        <c:crosses val="autoZero"/>
        <c:auto val="1"/>
        <c:lblAlgn val="ctr"/>
        <c:lblOffset val="100"/>
        <c:noMultiLvlLbl val="0"/>
      </c:catAx>
      <c:valAx>
        <c:axId val="89809194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343129"/>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35cdfe-149d-45ac-8eb2-29e02e5e53e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财政拨款支出</c:v>
                </c:pt>
              </c:strCache>
            </c:strRef>
          </c:cat>
          <c:val>
            <c:numRef>
              <c:f>Sheet1!$B$2</c:f>
              <c:numCache>
                <c:formatCode>General</c:formatCode>
                <c:ptCount val="1"/>
                <c:pt idx="0">
                  <c:v>2879.58</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财政拨款支出</c:v>
                </c:pt>
              </c:strCache>
            </c:strRef>
          </c:cat>
          <c:val>
            <c:numRef>
              <c:f>Sheet1!$C$2</c:f>
              <c:numCache>
                <c:formatCode>General</c:formatCode>
                <c:ptCount val="1"/>
                <c:pt idx="0">
                  <c:v>1717.33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388343129"/>
        <c:axId val="898091949"/>
      </c:barChart>
      <c:catAx>
        <c:axId val="388343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8091949"/>
        <c:crosses val="autoZero"/>
        <c:auto val="1"/>
        <c:lblAlgn val="ctr"/>
        <c:lblOffset val="100"/>
        <c:noMultiLvlLbl val="0"/>
      </c:catAx>
      <c:valAx>
        <c:axId val="89809194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343129"/>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3b65d10-868d-4ced-8ab7-65d533c4b0a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162150841577739"/>
                  <c:y val="0"/>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150609755058384"/>
                  <c:y val="0.411088921044891"/>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158836480299048"/>
                  <c:y val="0.0465144083421105"/>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科学技术支出</c:v>
                </c:pt>
                <c:pt idx="1">
                  <c:v>社会保障和就业支出</c:v>
                </c:pt>
                <c:pt idx="2">
                  <c:v>卫生健康支出</c:v>
                </c:pt>
              </c:strCache>
            </c:strRef>
          </c:cat>
          <c:val>
            <c:numRef>
              <c:f>Sheet1!$B$2:$B$4</c:f>
              <c:numCache>
                <c:formatCode>General</c:formatCode>
                <c:ptCount val="3"/>
                <c:pt idx="0">
                  <c:v>55</c:v>
                </c:pt>
                <c:pt idx="1">
                  <c:v>793.78</c:v>
                </c:pt>
                <c:pt idx="2">
                  <c:v>2030.8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44075904959337"/>
          <c:y val="0.83667377398720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03d46ce-9b0e-4183-961a-827b9717c5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59</Pages>
  <Words>5743</Words>
  <Characters>6219</Characters>
  <Lines>63</Lines>
  <Paragraphs>17</Paragraphs>
  <TotalTime>38</TotalTime>
  <ScaleCrop>false</ScaleCrop>
  <LinksUpToDate>false</LinksUpToDate>
  <CharactersWithSpaces>6277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王晓波</cp:lastModifiedBy>
  <cp:lastPrinted>2026-08-27T00:27:00Z</cp:lastPrinted>
  <dcterms:modified xsi:type="dcterms:W3CDTF">2026-09-07T01:36:38Z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CD597558E6774ECE8784A8D37DE2DA75_13</vt:lpwstr>
  </property>
  <property fmtid="{D5CDD505-2E9C-101B-9397-08002B2CF9AE}" pid="4" name="KSOTemplateDocerSaveRecord">
    <vt:lpwstr>eyJoZGlkIjoiMDM3YTFmN2RkZDMwMzJiMzRlYTRiODdkZDRiMGQyYWUiLCJ1c2VySWQiOiIxODA5MDg5ODI3In0=</vt:lpwstr>
  </property>
</Properties>
</file>