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6988A">
      <w:pPr>
        <w:pStyle w:val="6"/>
        <w:spacing w:before="93"/>
        <w:jc w:val="center"/>
        <w:rPr>
          <w:rFonts w:hint="eastAsia" w:ascii="Times New Roman" w:eastAsia="方正小标宋简体"/>
          <w:kern w:val="2"/>
          <w:sz w:val="44"/>
          <w:szCs w:val="44"/>
        </w:rPr>
      </w:pPr>
      <w:bookmarkStart w:id="0" w:name="_Toc15306267"/>
      <w:bookmarkStart w:id="1" w:name="_Toc15396598"/>
      <w:bookmarkStart w:id="2" w:name="_Toc15396476"/>
      <w:bookmarkStart w:id="3" w:name="_Toc15377194"/>
      <w:bookmarkStart w:id="4" w:name="_Toc15378442"/>
      <w:bookmarkStart w:id="5" w:name="_Toc15377426"/>
      <w:r>
        <w:rPr>
          <w:rFonts w:hint="eastAsia" w:ascii="Times New Roman" w:eastAsia="方正小标宋简体"/>
          <w:kern w:val="2"/>
          <w:sz w:val="44"/>
          <w:szCs w:val="44"/>
        </w:rPr>
        <w:t>2025年度</w:t>
      </w:r>
    </w:p>
    <w:p w14:paraId="10CDAEED">
      <w:pPr>
        <w:pStyle w:val="6"/>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四川省</w:t>
      </w:r>
      <w:r>
        <w:rPr>
          <w:rFonts w:hint="eastAsia" w:ascii="Times New Roman" w:eastAsia="方正小标宋简体"/>
          <w:kern w:val="2"/>
          <w:sz w:val="44"/>
          <w:szCs w:val="44"/>
        </w:rPr>
        <w:t>攀枝花市</w:t>
      </w:r>
      <w:bookmarkEnd w:id="0"/>
      <w:bookmarkStart w:id="6" w:name="_Toc15306268"/>
      <w:r>
        <w:rPr>
          <w:rFonts w:hint="eastAsia" w:ascii="Times New Roman" w:eastAsia="方正小标宋简体"/>
          <w:kern w:val="2"/>
          <w:sz w:val="44"/>
          <w:szCs w:val="44"/>
          <w:lang w:eastAsia="zh-CN"/>
        </w:rPr>
        <w:t>中西医结合医院</w:t>
      </w:r>
    </w:p>
    <w:p w14:paraId="294D1B8A">
      <w:pPr>
        <w:pStyle w:val="6"/>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单位决算</w:t>
      </w:r>
      <w:bookmarkEnd w:id="1"/>
      <w:bookmarkEnd w:id="2"/>
      <w:bookmarkEnd w:id="3"/>
      <w:bookmarkEnd w:id="4"/>
      <w:bookmarkEnd w:id="5"/>
      <w:bookmarkEnd w:id="6"/>
    </w:p>
    <w:p w14:paraId="2D914034">
      <w:pPr>
        <w:pStyle w:val="6"/>
        <w:spacing w:before="93"/>
        <w:jc w:val="center"/>
        <w:rPr>
          <w:rFonts w:hint="eastAsia" w:ascii="Times New Roman" w:eastAsia="方正小标宋简体"/>
          <w:kern w:val="2"/>
          <w:sz w:val="44"/>
          <w:szCs w:val="44"/>
          <w:lang w:eastAsia="zh-C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1F5E1D6F">
      <w:pPr>
        <w:widowControl/>
        <w:jc w:val="center"/>
        <w:rPr>
          <w:rFonts w:eastAsia="黑体"/>
          <w:sz w:val="48"/>
          <w:szCs w:val="48"/>
        </w:rPr>
      </w:pPr>
      <w:r>
        <w:rPr>
          <w:rFonts w:hint="eastAsia" w:eastAsia="黑体"/>
          <w:sz w:val="48"/>
          <w:szCs w:val="48"/>
        </w:rPr>
        <w:t>目录</w:t>
      </w:r>
    </w:p>
    <w:p w14:paraId="134B5931">
      <w:pPr>
        <w:widowControl/>
        <w:jc w:val="center"/>
        <w:rPr>
          <w:rFonts w:eastAsia="黑体" w:cstheme="minorBidi"/>
          <w:sz w:val="28"/>
          <w:szCs w:val="28"/>
        </w:rPr>
      </w:pPr>
    </w:p>
    <w:p w14:paraId="1973BD4F">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 xml:space="preserve"> 日</w:t>
      </w:r>
      <w:bookmarkStart w:id="164" w:name="_GoBack"/>
      <w:bookmarkEnd w:id="164"/>
    </w:p>
    <w:p w14:paraId="2A4868E7"/>
    <w:p w14:paraId="4ECB0515">
      <w:pPr>
        <w:pStyle w:val="14"/>
        <w:tabs>
          <w:tab w:val="right" w:leader="dot" w:pos="8306"/>
          <w:tab w:val="clear" w:pos="8296"/>
        </w:tabs>
      </w:pPr>
      <w:bookmarkStart w:id="7" w:name="_Toc15396599"/>
      <w:bookmarkStart w:id="8" w:name="_Toc15377196"/>
      <w:r>
        <w:fldChar w:fldCharType="begin"/>
      </w:r>
      <w:r>
        <w:instrText xml:space="preserve">TOC \o "1-5" \h \u </w:instrText>
      </w:r>
      <w:r>
        <w:fldChar w:fldCharType="separate"/>
      </w:r>
      <w:r>
        <w:fldChar w:fldCharType="begin"/>
      </w:r>
      <w:r>
        <w:instrText xml:space="preserve"> HYPERLINK \l _Toc13452 </w:instrText>
      </w:r>
      <w:r>
        <w:fldChar w:fldCharType="separate"/>
      </w:r>
      <w:r>
        <w:rPr>
          <w:rFonts w:hint="eastAsia" w:eastAsia="方正小标宋简体" w:cs="方正小标宋简体"/>
        </w:rPr>
        <w:t xml:space="preserve">第一部分  </w:t>
      </w:r>
      <w:r>
        <w:rPr>
          <w:rFonts w:hint="eastAsia" w:eastAsia="方正小标宋简体" w:cs="方正小标宋简体"/>
          <w:bCs w:val="0"/>
          <w:lang w:eastAsia="zh-CN"/>
        </w:rPr>
        <w:t>单位</w:t>
      </w:r>
      <w:r>
        <w:rPr>
          <w:rFonts w:hint="eastAsia" w:eastAsia="方正小标宋简体" w:cs="方正小标宋简体"/>
          <w:bCs w:val="0"/>
        </w:rPr>
        <w:t>概况</w:t>
      </w:r>
      <w:r>
        <w:tab/>
      </w:r>
      <w:r>
        <w:fldChar w:fldCharType="begin"/>
      </w:r>
      <w:r>
        <w:instrText xml:space="preserve"> PAGEREF _Toc13452 \h </w:instrText>
      </w:r>
      <w:r>
        <w:fldChar w:fldCharType="separate"/>
      </w:r>
      <w:r>
        <w:t>1</w:t>
      </w:r>
      <w:r>
        <w:fldChar w:fldCharType="end"/>
      </w:r>
      <w:r>
        <w:fldChar w:fldCharType="end"/>
      </w:r>
    </w:p>
    <w:p w14:paraId="641A9FBC">
      <w:pPr>
        <w:pStyle w:val="16"/>
        <w:tabs>
          <w:tab w:val="right" w:leader="dot" w:pos="8306"/>
          <w:tab w:val="clear" w:pos="8296"/>
        </w:tabs>
      </w:pPr>
      <w:r>
        <w:fldChar w:fldCharType="begin"/>
      </w:r>
      <w:r>
        <w:instrText xml:space="preserve"> HYPERLINK \l _Toc28463 </w:instrText>
      </w:r>
      <w:r>
        <w:fldChar w:fldCharType="separate"/>
      </w:r>
      <w:r>
        <w:rPr>
          <w:rFonts w:hint="eastAsia" w:ascii="Times New Roman" w:hAnsi="Times New Roman" w:eastAsia="黑体"/>
          <w:bCs w:val="0"/>
          <w:lang w:eastAsia="zh-CN"/>
        </w:rPr>
        <w:t>一、</w:t>
      </w:r>
      <w:r>
        <w:rPr>
          <w:rFonts w:hint="eastAsia" w:eastAsia="黑体"/>
          <w:bCs w:val="0"/>
          <w:lang w:eastAsia="zh-CN"/>
        </w:rPr>
        <w:t>单位</w:t>
      </w:r>
      <w:r>
        <w:rPr>
          <w:rFonts w:hint="eastAsia" w:ascii="Times New Roman" w:hAnsi="Times New Roman" w:eastAsia="黑体"/>
          <w:bCs w:val="0"/>
        </w:rPr>
        <w:t>职责</w:t>
      </w:r>
      <w:r>
        <w:tab/>
      </w:r>
      <w:r>
        <w:fldChar w:fldCharType="begin"/>
      </w:r>
      <w:r>
        <w:instrText xml:space="preserve"> PAGEREF _Toc28463 \h </w:instrText>
      </w:r>
      <w:r>
        <w:fldChar w:fldCharType="separate"/>
      </w:r>
      <w:r>
        <w:t>1</w:t>
      </w:r>
      <w:r>
        <w:fldChar w:fldCharType="end"/>
      </w:r>
      <w:r>
        <w:fldChar w:fldCharType="end"/>
      </w:r>
    </w:p>
    <w:p w14:paraId="295C6CAE">
      <w:pPr>
        <w:pStyle w:val="16"/>
        <w:tabs>
          <w:tab w:val="right" w:leader="dot" w:pos="8306"/>
          <w:tab w:val="clear" w:pos="8296"/>
        </w:tabs>
      </w:pPr>
      <w:r>
        <w:fldChar w:fldCharType="begin"/>
      </w:r>
      <w:r>
        <w:instrText xml:space="preserve"> HYPERLINK \l _Toc21343 </w:instrText>
      </w:r>
      <w:r>
        <w:fldChar w:fldCharType="separate"/>
      </w:r>
      <w:r>
        <w:rPr>
          <w:rFonts w:hint="eastAsia" w:ascii="Times New Roman" w:hAnsi="Times New Roman" w:eastAsia="黑体"/>
          <w:bCs w:val="0"/>
        </w:rPr>
        <w:t>二、机构设置</w:t>
      </w:r>
      <w:r>
        <w:tab/>
      </w:r>
      <w:r>
        <w:fldChar w:fldCharType="begin"/>
      </w:r>
      <w:r>
        <w:instrText xml:space="preserve"> PAGEREF _Toc21343 \h </w:instrText>
      </w:r>
      <w:r>
        <w:fldChar w:fldCharType="separate"/>
      </w:r>
      <w:r>
        <w:t>1</w:t>
      </w:r>
      <w:r>
        <w:fldChar w:fldCharType="end"/>
      </w:r>
      <w:r>
        <w:fldChar w:fldCharType="end"/>
      </w:r>
    </w:p>
    <w:p w14:paraId="3964CCB5">
      <w:pPr>
        <w:pStyle w:val="14"/>
        <w:tabs>
          <w:tab w:val="right" w:leader="dot" w:pos="8306"/>
          <w:tab w:val="clear" w:pos="8296"/>
        </w:tabs>
      </w:pPr>
      <w:r>
        <w:fldChar w:fldCharType="begin"/>
      </w:r>
      <w:r>
        <w:instrText xml:space="preserve"> HYPERLINK \l _Toc13105 </w:instrText>
      </w:r>
      <w:r>
        <w:fldChar w:fldCharType="separate"/>
      </w:r>
      <w:r>
        <w:rPr>
          <w:rFonts w:hint="eastAsia" w:eastAsia="方正小标宋简体" w:cs="方正小标宋简体"/>
        </w:rPr>
        <w:t>第二部分  2025年度部门决算情况说明</w:t>
      </w:r>
      <w:r>
        <w:tab/>
      </w:r>
      <w:r>
        <w:fldChar w:fldCharType="begin"/>
      </w:r>
      <w:r>
        <w:instrText xml:space="preserve"> PAGEREF _Toc13105 \h </w:instrText>
      </w:r>
      <w:r>
        <w:fldChar w:fldCharType="separate"/>
      </w:r>
      <w:r>
        <w:t>2</w:t>
      </w:r>
      <w:r>
        <w:fldChar w:fldCharType="end"/>
      </w:r>
      <w:r>
        <w:fldChar w:fldCharType="end"/>
      </w:r>
    </w:p>
    <w:p w14:paraId="07EAC382">
      <w:pPr>
        <w:pStyle w:val="16"/>
        <w:tabs>
          <w:tab w:val="right" w:leader="dot" w:pos="8306"/>
          <w:tab w:val="clear" w:pos="8296"/>
        </w:tabs>
      </w:pPr>
      <w:r>
        <w:fldChar w:fldCharType="begin"/>
      </w:r>
      <w:r>
        <w:instrText xml:space="preserve"> HYPERLINK \l _Toc21642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_Toc21642 \h </w:instrText>
      </w:r>
      <w:r>
        <w:fldChar w:fldCharType="separate"/>
      </w:r>
      <w:r>
        <w:t>2</w:t>
      </w:r>
      <w:r>
        <w:fldChar w:fldCharType="end"/>
      </w:r>
      <w:r>
        <w:fldChar w:fldCharType="end"/>
      </w:r>
    </w:p>
    <w:p w14:paraId="597E931A">
      <w:pPr>
        <w:pStyle w:val="16"/>
        <w:tabs>
          <w:tab w:val="right" w:leader="dot" w:pos="8306"/>
          <w:tab w:val="clear" w:pos="8296"/>
        </w:tabs>
      </w:pPr>
      <w:r>
        <w:fldChar w:fldCharType="begin"/>
      </w:r>
      <w:r>
        <w:instrText xml:space="preserve"> HYPERLINK \l _Toc19189 </w:instrText>
      </w:r>
      <w:r>
        <w:fldChar w:fldCharType="separate"/>
      </w:r>
      <w:r>
        <w:rPr>
          <w:rFonts w:hint="eastAsia" w:eastAsia="黑体"/>
          <w:szCs w:val="32"/>
        </w:rPr>
        <w:t>二、收入决算情况说明</w:t>
      </w:r>
      <w:r>
        <w:tab/>
      </w:r>
      <w:r>
        <w:fldChar w:fldCharType="begin"/>
      </w:r>
      <w:r>
        <w:instrText xml:space="preserve"> PAGEREF _Toc19189 \h </w:instrText>
      </w:r>
      <w:r>
        <w:fldChar w:fldCharType="separate"/>
      </w:r>
      <w:r>
        <w:t>2</w:t>
      </w:r>
      <w:r>
        <w:fldChar w:fldCharType="end"/>
      </w:r>
      <w:r>
        <w:fldChar w:fldCharType="end"/>
      </w:r>
    </w:p>
    <w:p w14:paraId="1DDAEA4F">
      <w:pPr>
        <w:pStyle w:val="16"/>
        <w:tabs>
          <w:tab w:val="right" w:leader="dot" w:pos="8306"/>
          <w:tab w:val="clear" w:pos="8296"/>
        </w:tabs>
      </w:pPr>
      <w:r>
        <w:fldChar w:fldCharType="begin"/>
      </w:r>
      <w:r>
        <w:instrText xml:space="preserve"> HYPERLINK \l _Toc18580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_Toc18580 \h </w:instrText>
      </w:r>
      <w:r>
        <w:fldChar w:fldCharType="separate"/>
      </w:r>
      <w:r>
        <w:t>3</w:t>
      </w:r>
      <w:r>
        <w:fldChar w:fldCharType="end"/>
      </w:r>
      <w:r>
        <w:fldChar w:fldCharType="end"/>
      </w:r>
    </w:p>
    <w:p w14:paraId="6B06773A">
      <w:pPr>
        <w:pStyle w:val="16"/>
        <w:tabs>
          <w:tab w:val="right" w:leader="dot" w:pos="8306"/>
          <w:tab w:val="clear" w:pos="8296"/>
        </w:tabs>
      </w:pPr>
      <w:r>
        <w:fldChar w:fldCharType="begin"/>
      </w:r>
      <w:r>
        <w:instrText xml:space="preserve"> HYPERLINK \l _Toc20269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_Toc20269 \h </w:instrText>
      </w:r>
      <w:r>
        <w:fldChar w:fldCharType="separate"/>
      </w:r>
      <w:r>
        <w:t>3</w:t>
      </w:r>
      <w:r>
        <w:fldChar w:fldCharType="end"/>
      </w:r>
      <w:r>
        <w:fldChar w:fldCharType="end"/>
      </w:r>
    </w:p>
    <w:p w14:paraId="324E8E3C">
      <w:pPr>
        <w:pStyle w:val="16"/>
        <w:tabs>
          <w:tab w:val="right" w:leader="dot" w:pos="8306"/>
          <w:tab w:val="clear" w:pos="8296"/>
        </w:tabs>
      </w:pPr>
      <w:r>
        <w:fldChar w:fldCharType="begin"/>
      </w:r>
      <w:r>
        <w:instrText xml:space="preserve"> HYPERLINK \l _Toc27036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_Toc27036 \h </w:instrText>
      </w:r>
      <w:r>
        <w:fldChar w:fldCharType="separate"/>
      </w:r>
      <w:r>
        <w:t>4</w:t>
      </w:r>
      <w:r>
        <w:fldChar w:fldCharType="end"/>
      </w:r>
      <w:r>
        <w:fldChar w:fldCharType="end"/>
      </w:r>
    </w:p>
    <w:p w14:paraId="1DDFDB37">
      <w:pPr>
        <w:pStyle w:val="16"/>
        <w:tabs>
          <w:tab w:val="right" w:leader="dot" w:pos="8306"/>
          <w:tab w:val="clear" w:pos="8296"/>
        </w:tabs>
      </w:pPr>
      <w:r>
        <w:fldChar w:fldCharType="begin"/>
      </w:r>
      <w:r>
        <w:instrText xml:space="preserve"> HYPERLINK \l _Toc20548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_Toc20548 \h </w:instrText>
      </w:r>
      <w:r>
        <w:fldChar w:fldCharType="separate"/>
      </w:r>
      <w:r>
        <w:t>6</w:t>
      </w:r>
      <w:r>
        <w:fldChar w:fldCharType="end"/>
      </w:r>
      <w:r>
        <w:fldChar w:fldCharType="end"/>
      </w:r>
    </w:p>
    <w:p w14:paraId="4C4BE1F3">
      <w:pPr>
        <w:pStyle w:val="16"/>
        <w:tabs>
          <w:tab w:val="right" w:leader="dot" w:pos="8306"/>
          <w:tab w:val="clear" w:pos="8296"/>
        </w:tabs>
      </w:pPr>
      <w:r>
        <w:fldChar w:fldCharType="begin"/>
      </w:r>
      <w:r>
        <w:instrText xml:space="preserve"> HYPERLINK \l _Toc24806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_Toc24806 \h </w:instrText>
      </w:r>
      <w:r>
        <w:fldChar w:fldCharType="separate"/>
      </w:r>
      <w:r>
        <w:t>6</w:t>
      </w:r>
      <w:r>
        <w:fldChar w:fldCharType="end"/>
      </w:r>
      <w:r>
        <w:fldChar w:fldCharType="end"/>
      </w:r>
    </w:p>
    <w:p w14:paraId="41992090">
      <w:pPr>
        <w:pStyle w:val="16"/>
        <w:tabs>
          <w:tab w:val="right" w:leader="dot" w:pos="8306"/>
          <w:tab w:val="clear" w:pos="8296"/>
        </w:tabs>
      </w:pPr>
      <w:r>
        <w:fldChar w:fldCharType="begin"/>
      </w:r>
      <w:r>
        <w:instrText xml:space="preserve"> HYPERLINK \l _Toc7542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_Toc7542 \h </w:instrText>
      </w:r>
      <w:r>
        <w:fldChar w:fldCharType="separate"/>
      </w:r>
      <w:r>
        <w:t>8</w:t>
      </w:r>
      <w:r>
        <w:fldChar w:fldCharType="end"/>
      </w:r>
      <w:r>
        <w:fldChar w:fldCharType="end"/>
      </w:r>
    </w:p>
    <w:p w14:paraId="320437BE">
      <w:pPr>
        <w:pStyle w:val="16"/>
        <w:tabs>
          <w:tab w:val="right" w:leader="dot" w:pos="8306"/>
          <w:tab w:val="clear" w:pos="8296"/>
        </w:tabs>
      </w:pPr>
      <w:r>
        <w:fldChar w:fldCharType="begin"/>
      </w:r>
      <w:r>
        <w:instrText xml:space="preserve"> HYPERLINK \l _Toc2304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_Toc2304 \h </w:instrText>
      </w:r>
      <w:r>
        <w:fldChar w:fldCharType="separate"/>
      </w:r>
      <w:r>
        <w:t>8</w:t>
      </w:r>
      <w:r>
        <w:fldChar w:fldCharType="end"/>
      </w:r>
      <w:r>
        <w:fldChar w:fldCharType="end"/>
      </w:r>
    </w:p>
    <w:p w14:paraId="03587441">
      <w:pPr>
        <w:pStyle w:val="16"/>
        <w:tabs>
          <w:tab w:val="right" w:leader="dot" w:pos="8306"/>
          <w:tab w:val="clear" w:pos="8296"/>
        </w:tabs>
      </w:pPr>
      <w:r>
        <w:fldChar w:fldCharType="begin"/>
      </w:r>
      <w:r>
        <w:instrText xml:space="preserve"> HYPERLINK \l _Toc29841 </w:instrText>
      </w:r>
      <w:r>
        <w:fldChar w:fldCharType="separate"/>
      </w:r>
      <w:r>
        <w:rPr>
          <w:rFonts w:hint="eastAsia" w:ascii="Times New Roman" w:hAnsi="Times New Roman" w:eastAsia="黑体"/>
        </w:rPr>
        <w:t>十、其他重要事项的情况说明</w:t>
      </w:r>
      <w:r>
        <w:tab/>
      </w:r>
      <w:r>
        <w:fldChar w:fldCharType="begin"/>
      </w:r>
      <w:r>
        <w:instrText xml:space="preserve"> PAGEREF _Toc29841 \h </w:instrText>
      </w:r>
      <w:r>
        <w:fldChar w:fldCharType="separate"/>
      </w:r>
      <w:r>
        <w:t>8</w:t>
      </w:r>
      <w:r>
        <w:fldChar w:fldCharType="end"/>
      </w:r>
      <w:r>
        <w:fldChar w:fldCharType="end"/>
      </w:r>
    </w:p>
    <w:p w14:paraId="13466BA9">
      <w:pPr>
        <w:pStyle w:val="14"/>
        <w:tabs>
          <w:tab w:val="right" w:leader="dot" w:pos="8306"/>
          <w:tab w:val="clear" w:pos="8296"/>
        </w:tabs>
      </w:pPr>
      <w:r>
        <w:fldChar w:fldCharType="begin"/>
      </w:r>
      <w:r>
        <w:instrText xml:space="preserve"> HYPERLINK \l _Toc9378 </w:instrText>
      </w:r>
      <w:r>
        <w:fldChar w:fldCharType="separate"/>
      </w:r>
      <w:r>
        <w:rPr>
          <w:rFonts w:hint="eastAsia" w:eastAsia="黑体"/>
          <w:szCs w:val="44"/>
        </w:rPr>
        <w:t>第三部分  名词解释</w:t>
      </w:r>
      <w:r>
        <w:tab/>
      </w:r>
      <w:r>
        <w:fldChar w:fldCharType="begin"/>
      </w:r>
      <w:r>
        <w:instrText xml:space="preserve"> PAGEREF _Toc9378 \h </w:instrText>
      </w:r>
      <w:r>
        <w:fldChar w:fldCharType="separate"/>
      </w:r>
      <w:r>
        <w:t>11</w:t>
      </w:r>
      <w:r>
        <w:fldChar w:fldCharType="end"/>
      </w:r>
      <w:r>
        <w:fldChar w:fldCharType="end"/>
      </w:r>
    </w:p>
    <w:p w14:paraId="5C2ECE98">
      <w:pPr>
        <w:pStyle w:val="14"/>
        <w:tabs>
          <w:tab w:val="right" w:leader="dot" w:pos="8306"/>
          <w:tab w:val="clear" w:pos="8296"/>
        </w:tabs>
      </w:pPr>
      <w:r>
        <w:fldChar w:fldCharType="begin"/>
      </w:r>
      <w:r>
        <w:instrText xml:space="preserve"> HYPERLINK \l _Toc23252 </w:instrText>
      </w:r>
      <w:r>
        <w:fldChar w:fldCharType="separate"/>
      </w:r>
      <w:r>
        <w:rPr>
          <w:rFonts w:hint="eastAsia"/>
        </w:rPr>
        <w:t>第五部分 附表</w:t>
      </w:r>
      <w:r>
        <w:tab/>
      </w:r>
      <w:r>
        <w:fldChar w:fldCharType="begin"/>
      </w:r>
      <w:r>
        <w:instrText xml:space="preserve"> PAGEREF _Toc23252 \h </w:instrText>
      </w:r>
      <w:r>
        <w:fldChar w:fldCharType="separate"/>
      </w:r>
      <w:r>
        <w:t>16</w:t>
      </w:r>
      <w:r>
        <w:fldChar w:fldCharType="end"/>
      </w:r>
      <w:r>
        <w:fldChar w:fldCharType="end"/>
      </w:r>
    </w:p>
    <w:p w14:paraId="7C39745F">
      <w:pPr>
        <w:pStyle w:val="16"/>
        <w:tabs>
          <w:tab w:val="right" w:leader="dot" w:pos="8306"/>
          <w:tab w:val="clear" w:pos="8296"/>
        </w:tabs>
      </w:pPr>
      <w:r>
        <w:fldChar w:fldCharType="begin"/>
      </w:r>
      <w:r>
        <w:instrText xml:space="preserve"> HYPERLINK \l _Toc23898 </w:instrText>
      </w:r>
      <w:r>
        <w:fldChar w:fldCharType="separate"/>
      </w:r>
      <w:r>
        <w:rPr>
          <w:rFonts w:hint="eastAsia"/>
          <w:bCs w:val="0"/>
          <w:lang w:val="zh-CN" w:eastAsia="zh-CN"/>
        </w:rPr>
        <w:t>一、收入支出决算总表</w:t>
      </w:r>
      <w:r>
        <w:tab/>
      </w:r>
      <w:r>
        <w:fldChar w:fldCharType="begin"/>
      </w:r>
      <w:r>
        <w:instrText xml:space="preserve"> PAGEREF _Toc23898 \h </w:instrText>
      </w:r>
      <w:r>
        <w:fldChar w:fldCharType="separate"/>
      </w:r>
      <w:r>
        <w:t>16</w:t>
      </w:r>
      <w:r>
        <w:fldChar w:fldCharType="end"/>
      </w:r>
      <w:r>
        <w:fldChar w:fldCharType="end"/>
      </w:r>
    </w:p>
    <w:p w14:paraId="6E144F69">
      <w:pPr>
        <w:pStyle w:val="16"/>
        <w:tabs>
          <w:tab w:val="right" w:leader="dot" w:pos="8306"/>
          <w:tab w:val="clear" w:pos="8296"/>
        </w:tabs>
      </w:pPr>
      <w:r>
        <w:fldChar w:fldCharType="begin"/>
      </w:r>
      <w:r>
        <w:instrText xml:space="preserve"> HYPERLINK \l _Toc11430 </w:instrText>
      </w:r>
      <w:r>
        <w:fldChar w:fldCharType="separate"/>
      </w:r>
      <w:r>
        <w:rPr>
          <w:rFonts w:hint="eastAsia"/>
          <w:bCs w:val="0"/>
          <w:lang w:val="zh-CN" w:eastAsia="zh-CN"/>
        </w:rPr>
        <w:t>二、收入决算表</w:t>
      </w:r>
      <w:r>
        <w:tab/>
      </w:r>
      <w:r>
        <w:fldChar w:fldCharType="begin"/>
      </w:r>
      <w:r>
        <w:instrText xml:space="preserve"> PAGEREF _Toc11430 \h </w:instrText>
      </w:r>
      <w:r>
        <w:fldChar w:fldCharType="separate"/>
      </w:r>
      <w:r>
        <w:t>16</w:t>
      </w:r>
      <w:r>
        <w:fldChar w:fldCharType="end"/>
      </w:r>
      <w:r>
        <w:fldChar w:fldCharType="end"/>
      </w:r>
    </w:p>
    <w:p w14:paraId="4381A80B">
      <w:pPr>
        <w:pStyle w:val="16"/>
        <w:tabs>
          <w:tab w:val="right" w:leader="dot" w:pos="8306"/>
          <w:tab w:val="clear" w:pos="8296"/>
        </w:tabs>
      </w:pPr>
      <w:r>
        <w:fldChar w:fldCharType="begin"/>
      </w:r>
      <w:r>
        <w:instrText xml:space="preserve"> HYPERLINK \l _Toc10139 </w:instrText>
      </w:r>
      <w:r>
        <w:fldChar w:fldCharType="separate"/>
      </w:r>
      <w:r>
        <w:rPr>
          <w:rFonts w:hint="eastAsia"/>
          <w:bCs w:val="0"/>
          <w:lang w:val="zh-CN" w:eastAsia="zh-CN"/>
        </w:rPr>
        <w:t>三、支出决算表</w:t>
      </w:r>
      <w:r>
        <w:tab/>
      </w:r>
      <w:r>
        <w:fldChar w:fldCharType="begin"/>
      </w:r>
      <w:r>
        <w:instrText xml:space="preserve"> PAGEREF _Toc10139 \h </w:instrText>
      </w:r>
      <w:r>
        <w:fldChar w:fldCharType="separate"/>
      </w:r>
      <w:r>
        <w:t>16</w:t>
      </w:r>
      <w:r>
        <w:fldChar w:fldCharType="end"/>
      </w:r>
      <w:r>
        <w:fldChar w:fldCharType="end"/>
      </w:r>
    </w:p>
    <w:p w14:paraId="4A2FC5AD">
      <w:pPr>
        <w:pStyle w:val="16"/>
        <w:tabs>
          <w:tab w:val="right" w:leader="dot" w:pos="8306"/>
          <w:tab w:val="clear" w:pos="8296"/>
        </w:tabs>
      </w:pPr>
      <w:r>
        <w:fldChar w:fldCharType="begin"/>
      </w:r>
      <w:r>
        <w:instrText xml:space="preserve"> HYPERLINK \l _Toc29660 </w:instrText>
      </w:r>
      <w:r>
        <w:fldChar w:fldCharType="separate"/>
      </w:r>
      <w:r>
        <w:rPr>
          <w:rFonts w:hint="eastAsia"/>
          <w:bCs w:val="0"/>
          <w:lang w:val="zh-CN" w:eastAsia="zh-CN"/>
        </w:rPr>
        <w:t>四、财政拨款收入支出决算总表</w:t>
      </w:r>
      <w:r>
        <w:tab/>
      </w:r>
      <w:r>
        <w:fldChar w:fldCharType="begin"/>
      </w:r>
      <w:r>
        <w:instrText xml:space="preserve"> PAGEREF _Toc29660 \h </w:instrText>
      </w:r>
      <w:r>
        <w:fldChar w:fldCharType="separate"/>
      </w:r>
      <w:r>
        <w:t>16</w:t>
      </w:r>
      <w:r>
        <w:fldChar w:fldCharType="end"/>
      </w:r>
      <w:r>
        <w:fldChar w:fldCharType="end"/>
      </w:r>
    </w:p>
    <w:p w14:paraId="5BB5BD6A">
      <w:pPr>
        <w:pStyle w:val="16"/>
        <w:tabs>
          <w:tab w:val="right" w:leader="dot" w:pos="8306"/>
          <w:tab w:val="clear" w:pos="8296"/>
        </w:tabs>
      </w:pPr>
      <w:r>
        <w:fldChar w:fldCharType="begin"/>
      </w:r>
      <w:r>
        <w:instrText xml:space="preserve"> HYPERLINK \l _Toc12453 </w:instrText>
      </w:r>
      <w:r>
        <w:fldChar w:fldCharType="separate"/>
      </w:r>
      <w:r>
        <w:rPr>
          <w:rFonts w:hint="eastAsia"/>
          <w:bCs w:val="0"/>
          <w:lang w:val="zh-CN" w:eastAsia="zh-CN"/>
        </w:rPr>
        <w:t>五、财政拨款支出决算明细表</w:t>
      </w:r>
      <w:r>
        <w:tab/>
      </w:r>
      <w:r>
        <w:fldChar w:fldCharType="begin"/>
      </w:r>
      <w:r>
        <w:instrText xml:space="preserve"> PAGEREF _Toc12453 \h </w:instrText>
      </w:r>
      <w:r>
        <w:fldChar w:fldCharType="separate"/>
      </w:r>
      <w:r>
        <w:t>16</w:t>
      </w:r>
      <w:r>
        <w:fldChar w:fldCharType="end"/>
      </w:r>
      <w:r>
        <w:fldChar w:fldCharType="end"/>
      </w:r>
    </w:p>
    <w:p w14:paraId="1393980F">
      <w:pPr>
        <w:pStyle w:val="16"/>
        <w:tabs>
          <w:tab w:val="right" w:leader="dot" w:pos="8306"/>
          <w:tab w:val="clear" w:pos="8296"/>
        </w:tabs>
      </w:pPr>
      <w:r>
        <w:fldChar w:fldCharType="begin"/>
      </w:r>
      <w:r>
        <w:instrText xml:space="preserve"> HYPERLINK \l _Toc19160 </w:instrText>
      </w:r>
      <w:r>
        <w:fldChar w:fldCharType="separate"/>
      </w:r>
      <w:r>
        <w:rPr>
          <w:rFonts w:hint="eastAsia"/>
          <w:bCs w:val="0"/>
          <w:lang w:val="zh-CN" w:eastAsia="zh-CN"/>
        </w:rPr>
        <w:t>六、一般公共预算财政拨款支出决算表</w:t>
      </w:r>
      <w:r>
        <w:tab/>
      </w:r>
      <w:r>
        <w:fldChar w:fldCharType="begin"/>
      </w:r>
      <w:r>
        <w:instrText xml:space="preserve"> PAGEREF _Toc19160 \h </w:instrText>
      </w:r>
      <w:r>
        <w:fldChar w:fldCharType="separate"/>
      </w:r>
      <w:r>
        <w:t>16</w:t>
      </w:r>
      <w:r>
        <w:fldChar w:fldCharType="end"/>
      </w:r>
      <w:r>
        <w:fldChar w:fldCharType="end"/>
      </w:r>
    </w:p>
    <w:p w14:paraId="430E21F7">
      <w:pPr>
        <w:pStyle w:val="16"/>
        <w:tabs>
          <w:tab w:val="right" w:leader="dot" w:pos="8306"/>
          <w:tab w:val="clear" w:pos="8296"/>
        </w:tabs>
      </w:pPr>
      <w:r>
        <w:fldChar w:fldCharType="begin"/>
      </w:r>
      <w:r>
        <w:instrText xml:space="preserve"> HYPERLINK \l _Toc11014 </w:instrText>
      </w:r>
      <w:r>
        <w:fldChar w:fldCharType="separate"/>
      </w:r>
      <w:r>
        <w:rPr>
          <w:rFonts w:hint="eastAsia"/>
          <w:bCs w:val="0"/>
          <w:lang w:val="zh-CN" w:eastAsia="zh-CN"/>
        </w:rPr>
        <w:t>七、一般公共预算财政拨款支出决算明细表</w:t>
      </w:r>
      <w:r>
        <w:tab/>
      </w:r>
      <w:r>
        <w:fldChar w:fldCharType="begin"/>
      </w:r>
      <w:r>
        <w:instrText xml:space="preserve"> PAGEREF _Toc11014 \h </w:instrText>
      </w:r>
      <w:r>
        <w:fldChar w:fldCharType="separate"/>
      </w:r>
      <w:r>
        <w:t>16</w:t>
      </w:r>
      <w:r>
        <w:fldChar w:fldCharType="end"/>
      </w:r>
      <w:r>
        <w:fldChar w:fldCharType="end"/>
      </w:r>
    </w:p>
    <w:p w14:paraId="27375A73">
      <w:pPr>
        <w:pStyle w:val="16"/>
        <w:tabs>
          <w:tab w:val="right" w:leader="dot" w:pos="8306"/>
          <w:tab w:val="clear" w:pos="8296"/>
        </w:tabs>
      </w:pPr>
      <w:r>
        <w:fldChar w:fldCharType="begin"/>
      </w:r>
      <w:r>
        <w:instrText xml:space="preserve"> HYPERLINK \l _Toc23765 </w:instrText>
      </w:r>
      <w:r>
        <w:fldChar w:fldCharType="separate"/>
      </w:r>
      <w:r>
        <w:rPr>
          <w:rFonts w:hint="eastAsia"/>
          <w:bCs w:val="0"/>
          <w:lang w:val="zh-CN" w:eastAsia="zh-CN"/>
        </w:rPr>
        <w:t>八、一般公共预算财政拨款基本支出决算表</w:t>
      </w:r>
      <w:r>
        <w:tab/>
      </w:r>
      <w:r>
        <w:fldChar w:fldCharType="begin"/>
      </w:r>
      <w:r>
        <w:instrText xml:space="preserve"> PAGEREF _Toc23765 \h </w:instrText>
      </w:r>
      <w:r>
        <w:fldChar w:fldCharType="separate"/>
      </w:r>
      <w:r>
        <w:t>16</w:t>
      </w:r>
      <w:r>
        <w:fldChar w:fldCharType="end"/>
      </w:r>
      <w:r>
        <w:fldChar w:fldCharType="end"/>
      </w:r>
    </w:p>
    <w:p w14:paraId="1CB1ECDB">
      <w:pPr>
        <w:pStyle w:val="16"/>
        <w:tabs>
          <w:tab w:val="right" w:leader="dot" w:pos="8306"/>
          <w:tab w:val="clear" w:pos="8296"/>
        </w:tabs>
      </w:pPr>
      <w:r>
        <w:fldChar w:fldCharType="begin"/>
      </w:r>
      <w:r>
        <w:instrText xml:space="preserve"> HYPERLINK \l _Toc29776 </w:instrText>
      </w:r>
      <w:r>
        <w:fldChar w:fldCharType="separate"/>
      </w:r>
      <w:r>
        <w:rPr>
          <w:rFonts w:hint="eastAsia"/>
          <w:bCs w:val="0"/>
          <w:lang w:val="zh-CN" w:eastAsia="zh-CN"/>
        </w:rPr>
        <w:t>九、一般公共预算财政拨款项目支出决算表</w:t>
      </w:r>
      <w:r>
        <w:tab/>
      </w:r>
      <w:r>
        <w:fldChar w:fldCharType="begin"/>
      </w:r>
      <w:r>
        <w:instrText xml:space="preserve"> PAGEREF _Toc29776 \h </w:instrText>
      </w:r>
      <w:r>
        <w:fldChar w:fldCharType="separate"/>
      </w:r>
      <w:r>
        <w:t>16</w:t>
      </w:r>
      <w:r>
        <w:fldChar w:fldCharType="end"/>
      </w:r>
      <w:r>
        <w:fldChar w:fldCharType="end"/>
      </w:r>
    </w:p>
    <w:p w14:paraId="4458089C">
      <w:pPr>
        <w:pStyle w:val="16"/>
        <w:tabs>
          <w:tab w:val="right" w:leader="dot" w:pos="8306"/>
          <w:tab w:val="clear" w:pos="8296"/>
        </w:tabs>
      </w:pPr>
      <w:r>
        <w:fldChar w:fldCharType="begin"/>
      </w:r>
      <w:r>
        <w:instrText xml:space="preserve"> HYPERLINK \l _Toc31576 </w:instrText>
      </w:r>
      <w:r>
        <w:fldChar w:fldCharType="separate"/>
      </w:r>
      <w:r>
        <w:rPr>
          <w:rFonts w:hint="eastAsia"/>
          <w:bCs w:val="0"/>
          <w:lang w:val="zh-CN" w:eastAsia="zh-CN"/>
        </w:rPr>
        <w:t>十、政府性基金预算财政拨款收入支出决算表（此表无数据）</w:t>
      </w:r>
      <w:r>
        <w:tab/>
      </w:r>
      <w:r>
        <w:fldChar w:fldCharType="begin"/>
      </w:r>
      <w:r>
        <w:instrText xml:space="preserve"> PAGEREF _Toc31576 \h </w:instrText>
      </w:r>
      <w:r>
        <w:fldChar w:fldCharType="separate"/>
      </w:r>
      <w:r>
        <w:t>16</w:t>
      </w:r>
      <w:r>
        <w:fldChar w:fldCharType="end"/>
      </w:r>
      <w:r>
        <w:fldChar w:fldCharType="end"/>
      </w:r>
    </w:p>
    <w:p w14:paraId="0AF7A114">
      <w:pPr>
        <w:pStyle w:val="16"/>
        <w:tabs>
          <w:tab w:val="right" w:leader="dot" w:pos="8306"/>
          <w:tab w:val="clear" w:pos="8296"/>
        </w:tabs>
      </w:pPr>
      <w:r>
        <w:fldChar w:fldCharType="begin"/>
      </w:r>
      <w:r>
        <w:instrText xml:space="preserve"> HYPERLINK \l _Toc16707 </w:instrText>
      </w:r>
      <w:r>
        <w:fldChar w:fldCharType="separate"/>
      </w:r>
      <w:r>
        <w:rPr>
          <w:rFonts w:hint="eastAsia"/>
          <w:bCs w:val="0"/>
          <w:lang w:val="zh-CN" w:eastAsia="zh-CN"/>
        </w:rPr>
        <w:t>十一、国有资本经营预算财政拨款收入支出决算表（此表无数据）</w:t>
      </w:r>
      <w:r>
        <w:tab/>
      </w:r>
      <w:r>
        <w:fldChar w:fldCharType="begin"/>
      </w:r>
      <w:r>
        <w:instrText xml:space="preserve"> PAGEREF _Toc16707 \h </w:instrText>
      </w:r>
      <w:r>
        <w:fldChar w:fldCharType="separate"/>
      </w:r>
      <w:r>
        <w:t>16</w:t>
      </w:r>
      <w:r>
        <w:fldChar w:fldCharType="end"/>
      </w:r>
      <w:r>
        <w:fldChar w:fldCharType="end"/>
      </w:r>
    </w:p>
    <w:p w14:paraId="074B35B5">
      <w:pPr>
        <w:pStyle w:val="16"/>
        <w:tabs>
          <w:tab w:val="right" w:leader="dot" w:pos="8306"/>
          <w:tab w:val="clear" w:pos="8296"/>
        </w:tabs>
      </w:pPr>
      <w:r>
        <w:fldChar w:fldCharType="begin"/>
      </w:r>
      <w:r>
        <w:instrText xml:space="preserve"> HYPERLINK \l _Toc21549 </w:instrText>
      </w:r>
      <w:r>
        <w:fldChar w:fldCharType="separate"/>
      </w:r>
      <w:r>
        <w:rPr>
          <w:rFonts w:hint="eastAsia"/>
          <w:bCs w:val="0"/>
          <w:lang w:val="zh-CN" w:eastAsia="zh-CN"/>
        </w:rPr>
        <w:t>十二、国有资本经营预算财政拨款支出决算表（此表无数据）</w:t>
      </w:r>
      <w:r>
        <w:tab/>
      </w:r>
      <w:r>
        <w:fldChar w:fldCharType="begin"/>
      </w:r>
      <w:r>
        <w:instrText xml:space="preserve"> PAGEREF _Toc21549 \h </w:instrText>
      </w:r>
      <w:r>
        <w:fldChar w:fldCharType="separate"/>
      </w:r>
      <w:r>
        <w:t>16</w:t>
      </w:r>
      <w:r>
        <w:fldChar w:fldCharType="end"/>
      </w:r>
      <w:r>
        <w:fldChar w:fldCharType="end"/>
      </w:r>
    </w:p>
    <w:p w14:paraId="440511A7">
      <w:pPr>
        <w:pStyle w:val="16"/>
        <w:tabs>
          <w:tab w:val="right" w:leader="dot" w:pos="8306"/>
          <w:tab w:val="clear" w:pos="8296"/>
        </w:tabs>
      </w:pPr>
      <w:r>
        <w:fldChar w:fldCharType="begin"/>
      </w:r>
      <w:r>
        <w:instrText xml:space="preserve"> HYPERLINK \l _Toc19549 </w:instrText>
      </w:r>
      <w:r>
        <w:fldChar w:fldCharType="separate"/>
      </w:r>
      <w:r>
        <w:rPr>
          <w:rFonts w:hint="eastAsia"/>
          <w:bCs w:val="0"/>
          <w:lang w:val="zh-CN" w:eastAsia="zh-CN"/>
        </w:rPr>
        <w:t>十三、财政拨款“三公”经费支出决算表（此表无数据）</w:t>
      </w:r>
      <w:r>
        <w:tab/>
      </w:r>
      <w:r>
        <w:fldChar w:fldCharType="begin"/>
      </w:r>
      <w:r>
        <w:instrText xml:space="preserve"> PAGEREF _Toc19549 \h </w:instrText>
      </w:r>
      <w:r>
        <w:fldChar w:fldCharType="separate"/>
      </w:r>
      <w:r>
        <w:t>16</w:t>
      </w:r>
      <w:r>
        <w:fldChar w:fldCharType="end"/>
      </w:r>
      <w:r>
        <w:fldChar w:fldCharType="end"/>
      </w:r>
    </w:p>
    <w:p w14:paraId="623456A5">
      <w:r>
        <w:fldChar w:fldCharType="end"/>
      </w:r>
    </w:p>
    <w:p w14:paraId="7796ED0A">
      <w:pPr>
        <w:pStyle w:val="3"/>
        <w:jc w:val="center"/>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3093E560">
      <w:pPr>
        <w:pStyle w:val="3"/>
        <w:jc w:val="center"/>
        <w:rPr>
          <w:rStyle w:val="30"/>
          <w:rFonts w:eastAsia="方正小标宋简体" w:cs="方正小标宋简体"/>
          <w:b/>
          <w:bCs w:val="0"/>
        </w:rPr>
      </w:pPr>
      <w:bookmarkStart w:id="9" w:name="_Toc13452"/>
      <w:r>
        <w:rPr>
          <w:rFonts w:hint="eastAsia" w:eastAsia="方正小标宋简体" w:cs="方正小标宋简体"/>
          <w:b w:val="0"/>
        </w:rPr>
        <w:t xml:space="preserve">第一部分  </w:t>
      </w:r>
      <w:r>
        <w:rPr>
          <w:rStyle w:val="30"/>
          <w:rFonts w:hint="eastAsia" w:eastAsia="方正小标宋简体" w:cs="方正小标宋简体"/>
          <w:b w:val="0"/>
          <w:bCs w:val="0"/>
          <w:lang w:eastAsia="zh-CN"/>
        </w:rPr>
        <w:t>单位</w:t>
      </w:r>
      <w:r>
        <w:rPr>
          <w:rStyle w:val="30"/>
          <w:rFonts w:hint="eastAsia" w:eastAsia="方正小标宋简体" w:cs="方正小标宋简体"/>
          <w:b w:val="0"/>
          <w:bCs w:val="0"/>
        </w:rPr>
        <w:t>概况</w:t>
      </w:r>
      <w:bookmarkEnd w:id="7"/>
      <w:bookmarkEnd w:id="8"/>
      <w:bookmarkEnd w:id="9"/>
    </w:p>
    <w:p w14:paraId="436F5BEB">
      <w:pPr>
        <w:widowControl/>
        <w:jc w:val="left"/>
        <w:rPr>
          <w:rFonts w:eastAsia="黑体"/>
          <w:sz w:val="32"/>
          <w:szCs w:val="32"/>
        </w:rPr>
      </w:pPr>
    </w:p>
    <w:p w14:paraId="0FE548A3">
      <w:pPr>
        <w:ind w:firstLine="640" w:firstLineChars="200"/>
        <w:rPr>
          <w:rStyle w:val="31"/>
          <w:rFonts w:hint="eastAsia" w:ascii="Times New Roman" w:hAnsi="Times New Roman" w:eastAsia="黑体"/>
          <w:b w:val="0"/>
          <w:bCs w:val="0"/>
        </w:rPr>
      </w:pPr>
      <w:bookmarkStart w:id="10" w:name="_Toc28463"/>
      <w:r>
        <w:rPr>
          <w:rStyle w:val="31"/>
          <w:rFonts w:hint="eastAsia" w:ascii="Times New Roman" w:hAnsi="Times New Roman" w:eastAsia="黑体"/>
          <w:b w:val="0"/>
          <w:bCs w:val="0"/>
          <w:lang w:eastAsia="zh-CN"/>
        </w:rPr>
        <w:t>一、</w:t>
      </w:r>
      <w:r>
        <w:rPr>
          <w:rStyle w:val="31"/>
          <w:rFonts w:hint="eastAsia" w:eastAsia="黑体"/>
          <w:b w:val="0"/>
          <w:bCs w:val="0"/>
          <w:lang w:eastAsia="zh-CN"/>
        </w:rPr>
        <w:t>单位</w:t>
      </w:r>
      <w:r>
        <w:rPr>
          <w:rStyle w:val="31"/>
          <w:rFonts w:hint="eastAsia" w:ascii="Times New Roman" w:hAnsi="Times New Roman" w:eastAsia="黑体"/>
          <w:b w:val="0"/>
          <w:bCs w:val="0"/>
        </w:rPr>
        <w:t>职责</w:t>
      </w:r>
    </w:p>
    <w:bookmarkEnd w:id="10"/>
    <w:p w14:paraId="4659E32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职能参照省政</w:t>
      </w:r>
      <w:r>
        <w:rPr>
          <w:rFonts w:hint="eastAsia" w:ascii="仿宋_GB2312" w:hAnsi="仿宋_GB2312" w:eastAsia="仿宋_GB2312" w:cs="仿宋_GB2312"/>
          <w:b w:val="0"/>
          <w:bCs w:val="0"/>
          <w:color w:val="000000"/>
          <w:sz w:val="32"/>
          <w:szCs w:val="32"/>
        </w:rPr>
        <w:t>府批准的</w:t>
      </w:r>
      <w:r>
        <w:rPr>
          <w:rFonts w:hint="eastAsia" w:ascii="仿宋_GB2312" w:hAnsi="仿宋_GB2312" w:eastAsia="仿宋_GB2312" w:cs="仿宋_GB2312"/>
          <w:b w:val="0"/>
          <w:bCs w:val="0"/>
          <w:color w:val="000000"/>
          <w:sz w:val="32"/>
          <w:szCs w:val="32"/>
          <w:lang w:eastAsia="zh-CN"/>
        </w:rPr>
        <w:t>“三定”</w:t>
      </w:r>
      <w:r>
        <w:rPr>
          <w:rFonts w:hint="eastAsia" w:ascii="仿宋_GB2312" w:hAnsi="仿宋_GB2312" w:eastAsia="仿宋_GB2312" w:cs="仿宋_GB2312"/>
          <w:b w:val="0"/>
          <w:bCs w:val="0"/>
          <w:color w:val="000000"/>
          <w:sz w:val="32"/>
          <w:szCs w:val="32"/>
        </w:rPr>
        <w:t>方案</w:t>
      </w:r>
      <w:r>
        <w:rPr>
          <w:rFonts w:hint="eastAsia" w:ascii="仿宋_GB2312" w:hAnsi="仿宋_GB2312" w:eastAsia="仿宋_GB2312" w:cs="仿宋_GB2312"/>
          <w:b w:val="0"/>
          <w:bCs w:val="0"/>
          <w:color w:val="000000"/>
          <w:sz w:val="32"/>
          <w:szCs w:val="32"/>
          <w:lang w:eastAsia="zh-CN"/>
        </w:rPr>
        <w:t>：四川省</w:t>
      </w:r>
      <w:r>
        <w:rPr>
          <w:rFonts w:hint="eastAsia" w:ascii="仿宋_GB2312" w:hAnsi="仿宋_GB2312" w:eastAsia="仿宋_GB2312" w:cs="仿宋_GB2312"/>
          <w:color w:val="000000"/>
          <w:sz w:val="32"/>
          <w:szCs w:val="32"/>
        </w:rPr>
        <w:t>攀枝花市中西医结合医院是集医疗、预防、保健</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健康教育、科研、教学为一体的三级甲等中西医结合医院。主要服务攀枝花市百万人口，辐射云南省华坪、宁蒗、</w:t>
      </w:r>
      <w:r>
        <w:rPr>
          <w:rFonts w:hint="eastAsia" w:ascii="仿宋_GB2312" w:hAnsi="仿宋_GB2312" w:eastAsia="仿宋_GB2312" w:cs="仿宋_GB2312"/>
          <w:color w:val="000000"/>
          <w:sz w:val="32"/>
          <w:szCs w:val="32"/>
          <w:lang w:val="en-US" w:eastAsia="zh-CN"/>
        </w:rPr>
        <w:t>永胜、</w:t>
      </w:r>
      <w:r>
        <w:rPr>
          <w:rFonts w:hint="eastAsia" w:ascii="仿宋_GB2312" w:hAnsi="仿宋_GB2312" w:eastAsia="仿宋_GB2312" w:cs="仿宋_GB2312"/>
          <w:color w:val="000000"/>
          <w:sz w:val="32"/>
          <w:szCs w:val="32"/>
        </w:rPr>
        <w:t>凉山州会理、会东、</w:t>
      </w:r>
      <w:r>
        <w:rPr>
          <w:rFonts w:hint="eastAsia" w:ascii="仿宋_GB2312" w:hAnsi="仿宋_GB2312" w:eastAsia="仿宋_GB2312" w:cs="仿宋_GB2312"/>
          <w:color w:val="000000"/>
          <w:sz w:val="32"/>
          <w:szCs w:val="32"/>
          <w:lang w:eastAsia="zh-CN"/>
        </w:rPr>
        <w:t>宁南、</w:t>
      </w:r>
      <w:r>
        <w:rPr>
          <w:rFonts w:hint="eastAsia" w:ascii="仿宋_GB2312" w:hAnsi="仿宋_GB2312" w:eastAsia="仿宋_GB2312" w:cs="仿宋_GB2312"/>
          <w:color w:val="000000"/>
          <w:sz w:val="32"/>
          <w:szCs w:val="32"/>
        </w:rPr>
        <w:t>德昌、盐源、木里等县，承担医疗、预防、保健工作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市内传染病、职业病和非传染性慢性病的防控，群众健康教育工作</w:t>
      </w:r>
      <w:r>
        <w:rPr>
          <w:rFonts w:hint="eastAsia" w:ascii="仿宋_GB2312" w:hAnsi="仿宋_GB2312" w:eastAsia="仿宋_GB2312" w:cs="仿宋_GB2312"/>
          <w:color w:val="000000"/>
          <w:sz w:val="32"/>
          <w:szCs w:val="32"/>
          <w:lang w:eastAsia="zh-CN"/>
        </w:rPr>
        <w:t>，以及</w:t>
      </w:r>
      <w:r>
        <w:rPr>
          <w:rFonts w:hint="eastAsia" w:ascii="仿宋_GB2312" w:hAnsi="仿宋_GB2312" w:eastAsia="仿宋_GB2312" w:cs="仿宋_GB2312"/>
          <w:color w:val="000000"/>
          <w:sz w:val="32"/>
          <w:szCs w:val="32"/>
        </w:rPr>
        <w:t>应对各种突发性公共卫生事件和医疗</w:t>
      </w:r>
      <w:r>
        <w:rPr>
          <w:rFonts w:hint="eastAsia" w:ascii="仿宋_GB2312" w:hAnsi="仿宋_GB2312" w:eastAsia="仿宋_GB2312" w:cs="仿宋_GB2312"/>
          <w:color w:val="000000"/>
          <w:sz w:val="32"/>
          <w:szCs w:val="32"/>
          <w:lang w:eastAsia="zh-CN"/>
        </w:rPr>
        <w:t>抢救工作。</w:t>
      </w:r>
      <w:bookmarkStart w:id="11" w:name="_Toc15396601"/>
      <w:bookmarkStart w:id="12" w:name="_Toc15377200"/>
    </w:p>
    <w:p w14:paraId="0BE97745">
      <w:pPr>
        <w:ind w:firstLine="640" w:firstLineChars="200"/>
        <w:rPr>
          <w:rStyle w:val="31"/>
          <w:rFonts w:ascii="Times New Roman" w:hAnsi="Times New Roman"/>
          <w:b w:val="0"/>
          <w:bCs w:val="0"/>
        </w:rPr>
      </w:pPr>
      <w:bookmarkStart w:id="13" w:name="_Toc21343"/>
      <w:r>
        <w:rPr>
          <w:rStyle w:val="31"/>
          <w:rFonts w:hint="eastAsia" w:ascii="Times New Roman" w:hAnsi="Times New Roman" w:eastAsia="黑体"/>
          <w:b w:val="0"/>
          <w:bCs w:val="0"/>
        </w:rPr>
        <w:t>二、机构设置</w:t>
      </w:r>
      <w:bookmarkEnd w:id="11"/>
      <w:bookmarkEnd w:id="12"/>
    </w:p>
    <w:bookmarkEnd w:id="13"/>
    <w:p w14:paraId="3511A1C0">
      <w:pPr>
        <w:ind w:firstLine="800" w:firstLineChars="250"/>
        <w:rPr>
          <w:rFonts w:eastAsia="仿宋_GB2312" w:cs="仿宋_GB2312"/>
          <w:sz w:val="32"/>
          <w:szCs w:val="32"/>
        </w:rPr>
      </w:pPr>
      <w:r>
        <w:rPr>
          <w:rFonts w:hint="eastAsia" w:ascii="仿宋_GB2312" w:hAnsi="仿宋_GB2312" w:eastAsia="仿宋_GB2312" w:cs="仿宋_GB2312"/>
          <w:color w:val="auto"/>
          <w:sz w:val="32"/>
          <w:szCs w:val="32"/>
          <w:highlight w:val="none"/>
        </w:rPr>
        <w:t>四川省攀枝花市中西医结合医院</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6E698FF0">
      <w:pPr>
        <w:pStyle w:val="6"/>
        <w:adjustRightInd w:val="0"/>
        <w:snapToGrid w:val="0"/>
        <w:spacing w:before="93" w:line="600" w:lineRule="exact"/>
        <w:ind w:firstLine="672" w:firstLineChars="210"/>
        <w:rPr>
          <w:rFonts w:hint="eastAsia" w:ascii="Times New Roman" w:eastAsia="仿宋_GB2312" w:cs="仿宋_GB2312"/>
          <w:sz w:val="32"/>
          <w:szCs w:val="32"/>
          <w:lang w:eastAsia="zh-CN"/>
        </w:rPr>
      </w:pPr>
      <w:r>
        <w:rPr>
          <w:rFonts w:hint="eastAsia" w:ascii="Times New Roman" w:cs="仿宋_GB2312"/>
          <w:sz w:val="32"/>
          <w:szCs w:val="32"/>
        </w:rPr>
        <w:t>纳入</w:t>
      </w:r>
      <w:r>
        <w:rPr>
          <w:sz w:val="32"/>
          <w:szCs w:val="32"/>
        </w:rPr>
        <w:t>四川省攀枝花市中西医结合医院</w:t>
      </w:r>
      <w:r>
        <w:rPr>
          <w:rFonts w:hint="eastAsia" w:ascii="Times New Roman" w:cs="仿宋_GB2312"/>
          <w:sz w:val="32"/>
          <w:szCs w:val="32"/>
        </w:rPr>
        <w:t>2025年度部门决算编制范围的二级预算</w:t>
      </w:r>
      <w:r>
        <w:rPr>
          <w:rFonts w:hint="eastAsia" w:ascii="Times New Roman" w:cs="仿宋_GB2312"/>
          <w:sz w:val="32"/>
          <w:szCs w:val="32"/>
          <w:lang w:eastAsia="zh-CN"/>
        </w:rPr>
        <w:t>单位无。</w:t>
      </w:r>
    </w:p>
    <w:p w14:paraId="1BC9DEF8">
      <w:pPr>
        <w:widowControl/>
        <w:jc w:val="left"/>
        <w:rPr>
          <w:rFonts w:eastAsia="仿宋"/>
          <w:kern w:val="0"/>
          <w:sz w:val="32"/>
          <w:szCs w:val="32"/>
        </w:rPr>
      </w:pPr>
      <w:r>
        <w:rPr>
          <w:rFonts w:eastAsia="仿宋"/>
          <w:sz w:val="32"/>
          <w:szCs w:val="32"/>
        </w:rPr>
        <w:br w:type="page"/>
      </w:r>
    </w:p>
    <w:p w14:paraId="70F3DEB9">
      <w:pPr>
        <w:pStyle w:val="3"/>
        <w:jc w:val="center"/>
        <w:rPr>
          <w:rFonts w:eastAsia="方正小标宋简体" w:cs="方正小标宋简体"/>
          <w:b w:val="0"/>
        </w:rPr>
      </w:pPr>
      <w:bookmarkStart w:id="14" w:name="_Toc15377204"/>
      <w:bookmarkStart w:id="15" w:name="_Toc15396602"/>
      <w:bookmarkStart w:id="16" w:name="_Toc13105"/>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4"/>
      <w:bookmarkEnd w:id="15"/>
      <w:bookmarkEnd w:id="16"/>
    </w:p>
    <w:p w14:paraId="473AA867"/>
    <w:p w14:paraId="3EDE6F8B">
      <w:pPr>
        <w:pStyle w:val="29"/>
        <w:spacing w:line="600" w:lineRule="exact"/>
        <w:ind w:firstLine="640"/>
        <w:outlineLvl w:val="1"/>
        <w:rPr>
          <w:rStyle w:val="31"/>
          <w:rFonts w:ascii="Times New Roman" w:hAnsi="Times New Roman" w:eastAsia="黑体"/>
          <w:b w:val="0"/>
        </w:rPr>
      </w:pPr>
      <w:bookmarkStart w:id="17" w:name="_Toc21642"/>
      <w:bookmarkStart w:id="18" w:name="_Toc15377205"/>
      <w:bookmarkStart w:id="19" w:name="_Toc15396603"/>
      <w:r>
        <w:rPr>
          <w:rFonts w:hint="eastAsia" w:eastAsia="黑体"/>
          <w:sz w:val="32"/>
          <w:szCs w:val="32"/>
        </w:rPr>
        <w:t>一、收</w:t>
      </w:r>
      <w:r>
        <w:rPr>
          <w:rStyle w:val="31"/>
          <w:rFonts w:hint="eastAsia" w:ascii="Times New Roman" w:hAnsi="Times New Roman" w:eastAsia="黑体"/>
          <w:b w:val="0"/>
        </w:rPr>
        <w:t>入支出决算总体情况说明</w:t>
      </w:r>
      <w:bookmarkEnd w:id="17"/>
      <w:bookmarkEnd w:id="18"/>
      <w:bookmarkEnd w:id="19"/>
    </w:p>
    <w:p w14:paraId="24C7CFC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0" w:name="_Toc15428"/>
      <w:bookmarkStart w:id="21" w:name="_Toc9202"/>
      <w:r>
        <w:rPr>
          <w:rFonts w:hint="eastAsia" w:eastAsia="仿宋_GB2312" w:cs="仿宋_GB2312"/>
          <w:sz w:val="32"/>
          <w:szCs w:val="32"/>
        </w:rPr>
        <w:t>2025年度收入、支出总计均为</w:t>
      </w:r>
      <w:r>
        <w:rPr>
          <w:rFonts w:hint="eastAsia" w:eastAsia="仿宋_GB2312" w:cs="仿宋_GB2312"/>
          <w:sz w:val="32"/>
          <w:szCs w:val="32"/>
          <w:lang w:val="en-US" w:eastAsia="zh-CN"/>
        </w:rPr>
        <w:t>113900.62</w:t>
      </w:r>
      <w:r>
        <w:rPr>
          <w:rFonts w:hint="eastAsia" w:eastAsia="仿宋_GB2312" w:cs="仿宋_GB2312"/>
          <w:sz w:val="32"/>
          <w:szCs w:val="32"/>
        </w:rPr>
        <w:t>万元。与上年度相比，收入、支出总计各增加/减少</w:t>
      </w:r>
      <w:r>
        <w:rPr>
          <w:rFonts w:hint="eastAsia" w:eastAsia="仿宋_GB2312" w:cs="仿宋_GB2312"/>
          <w:sz w:val="32"/>
          <w:szCs w:val="32"/>
          <w:lang w:val="en-US" w:eastAsia="zh-CN"/>
        </w:rPr>
        <w:t>419.26</w:t>
      </w:r>
      <w:r>
        <w:rPr>
          <w:rFonts w:hint="eastAsia" w:eastAsia="仿宋_GB2312" w:cs="仿宋_GB2312"/>
          <w:sz w:val="32"/>
          <w:szCs w:val="32"/>
        </w:rPr>
        <w:t>万元，增长</w:t>
      </w:r>
      <w:r>
        <w:rPr>
          <w:rFonts w:hint="eastAsia" w:eastAsia="仿宋_GB2312" w:cs="仿宋_GB2312"/>
          <w:sz w:val="32"/>
          <w:szCs w:val="32"/>
          <w:lang w:val="en-US" w:eastAsia="zh-CN"/>
        </w:rPr>
        <w:t>0.4</w:t>
      </w:r>
      <w:r>
        <w:rPr>
          <w:rFonts w:hint="eastAsia" w:eastAsia="仿宋_GB2312" w:cs="仿宋_GB2312"/>
          <w:sz w:val="32"/>
          <w:szCs w:val="32"/>
        </w:rPr>
        <w:t>%。主要变动原因是</w:t>
      </w:r>
      <w:r>
        <w:rPr>
          <w:rFonts w:hint="eastAsia" w:eastAsia="仿宋_GB2312" w:cs="仿宋_GB2312"/>
          <w:color w:val="auto"/>
          <w:sz w:val="32"/>
          <w:szCs w:val="32"/>
          <w:highlight w:val="none"/>
          <w:lang w:eastAsia="zh-CN"/>
        </w:rPr>
        <w:t>区域影响力增加，患者增加导致收支总计相应增加。</w:t>
      </w:r>
      <w:bookmarkEnd w:id="20"/>
      <w:bookmarkEnd w:id="21"/>
    </w:p>
    <w:p w14:paraId="3BBE562B">
      <w:pPr>
        <w:pStyle w:val="29"/>
        <w:spacing w:line="600" w:lineRule="exact"/>
        <w:ind w:firstLine="640"/>
        <w:outlineLvl w:val="1"/>
        <w:rPr>
          <w:rFonts w:hint="eastAsia" w:eastAsia="仿宋_GB2312" w:cs="仿宋_GB2312"/>
          <w:sz w:val="32"/>
          <w:szCs w:val="32"/>
        </w:rPr>
      </w:pPr>
      <w:bookmarkStart w:id="22" w:name="_Toc14131"/>
      <w:bookmarkStart w:id="23" w:name="_Toc8422"/>
      <w:r>
        <w:rPr>
          <w:rFonts w:hint="eastAsia" w:eastAsia="仿宋_GB2312" w:cs="仿宋_GB2312"/>
          <w:sz w:val="32"/>
          <w:szCs w:val="32"/>
        </w:rPr>
        <w:t>（图1：收入、支出决算总计变动情况图）（柱状图）</w:t>
      </w:r>
      <w:bookmarkEnd w:id="22"/>
      <w:bookmarkEnd w:id="23"/>
    </w:p>
    <w:p w14:paraId="5D0E0B0E">
      <w:pPr>
        <w:pStyle w:val="29"/>
        <w:spacing w:line="600" w:lineRule="exact"/>
        <w:ind w:firstLine="640"/>
        <w:outlineLvl w:val="1"/>
        <w:rPr>
          <w:rFonts w:hint="eastAsia" w:eastAsia="仿宋_GB2312" w:cs="仿宋_GB2312"/>
          <w:sz w:val="32"/>
          <w:szCs w:val="32"/>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410845</wp:posOffset>
            </wp:positionH>
            <wp:positionV relativeFrom="paragraph">
              <wp:posOffset>106045</wp:posOffset>
            </wp:positionV>
            <wp:extent cx="4309110" cy="3237865"/>
            <wp:effectExtent l="4445" t="4445" r="17145" b="8890"/>
            <wp:wrapTight wrapText="bothSides">
              <wp:wrapPolygon>
                <wp:start x="-22" y="-30"/>
                <wp:lineTo x="-22" y="21575"/>
                <wp:lineTo x="21559" y="21575"/>
                <wp:lineTo x="21559" y="-30"/>
                <wp:lineTo x="-22" y="-3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E93AA70">
      <w:pPr>
        <w:pStyle w:val="29"/>
        <w:spacing w:line="600" w:lineRule="exact"/>
        <w:ind w:firstLine="640"/>
        <w:outlineLvl w:val="1"/>
        <w:rPr>
          <w:rFonts w:hint="eastAsia" w:eastAsia="仿宋_GB2312" w:cs="仿宋_GB2312"/>
          <w:sz w:val="32"/>
          <w:szCs w:val="32"/>
        </w:rPr>
      </w:pPr>
    </w:p>
    <w:p w14:paraId="3419E7EB">
      <w:pPr>
        <w:pStyle w:val="29"/>
        <w:spacing w:line="600" w:lineRule="exact"/>
        <w:ind w:firstLine="640"/>
        <w:outlineLvl w:val="1"/>
        <w:rPr>
          <w:rFonts w:hint="eastAsia" w:eastAsia="仿宋_GB2312" w:cs="仿宋_GB2312"/>
          <w:sz w:val="32"/>
          <w:szCs w:val="32"/>
        </w:rPr>
      </w:pPr>
    </w:p>
    <w:p w14:paraId="4B71F09A">
      <w:pPr>
        <w:pStyle w:val="29"/>
        <w:spacing w:line="600" w:lineRule="exact"/>
        <w:ind w:firstLine="640"/>
        <w:outlineLvl w:val="1"/>
        <w:rPr>
          <w:rFonts w:hint="eastAsia" w:eastAsia="仿宋_GB2312" w:cs="仿宋_GB2312"/>
          <w:sz w:val="32"/>
          <w:szCs w:val="32"/>
        </w:rPr>
      </w:pPr>
    </w:p>
    <w:p w14:paraId="729B238C">
      <w:pPr>
        <w:pStyle w:val="29"/>
        <w:spacing w:line="600" w:lineRule="exact"/>
        <w:ind w:firstLine="640"/>
        <w:outlineLvl w:val="1"/>
        <w:rPr>
          <w:rFonts w:hint="eastAsia" w:eastAsia="仿宋_GB2312" w:cs="仿宋_GB2312"/>
          <w:sz w:val="32"/>
          <w:szCs w:val="32"/>
        </w:rPr>
      </w:pPr>
    </w:p>
    <w:p w14:paraId="33CE1DFC">
      <w:pPr>
        <w:pStyle w:val="29"/>
        <w:spacing w:line="600" w:lineRule="exact"/>
        <w:ind w:firstLine="640"/>
        <w:outlineLvl w:val="1"/>
        <w:rPr>
          <w:rFonts w:hint="eastAsia" w:eastAsia="仿宋_GB2312" w:cs="仿宋_GB2312"/>
          <w:sz w:val="32"/>
          <w:szCs w:val="32"/>
        </w:rPr>
      </w:pPr>
    </w:p>
    <w:p w14:paraId="0AA77E90">
      <w:pPr>
        <w:pStyle w:val="29"/>
        <w:spacing w:line="600" w:lineRule="exact"/>
        <w:ind w:firstLine="640"/>
        <w:outlineLvl w:val="1"/>
        <w:rPr>
          <w:rFonts w:hint="eastAsia" w:eastAsia="仿宋_GB2312" w:cs="仿宋_GB2312"/>
          <w:sz w:val="32"/>
          <w:szCs w:val="32"/>
        </w:rPr>
      </w:pPr>
    </w:p>
    <w:p w14:paraId="3EFE7D43">
      <w:pPr>
        <w:pStyle w:val="29"/>
        <w:spacing w:line="600" w:lineRule="exact"/>
        <w:ind w:firstLine="640"/>
        <w:outlineLvl w:val="1"/>
        <w:rPr>
          <w:rFonts w:hint="eastAsia" w:eastAsia="仿宋_GB2312" w:cs="仿宋_GB2312"/>
          <w:sz w:val="32"/>
          <w:szCs w:val="32"/>
        </w:rPr>
      </w:pPr>
    </w:p>
    <w:p w14:paraId="4A5FE2EC">
      <w:pPr>
        <w:pStyle w:val="29"/>
        <w:spacing w:line="600" w:lineRule="exact"/>
        <w:ind w:firstLine="640"/>
        <w:outlineLvl w:val="1"/>
        <w:rPr>
          <w:rFonts w:hint="eastAsia" w:eastAsia="仿宋_GB2312" w:cs="仿宋_GB2312"/>
          <w:sz w:val="32"/>
          <w:szCs w:val="32"/>
        </w:rPr>
      </w:pPr>
    </w:p>
    <w:p w14:paraId="52E1FA58">
      <w:pPr>
        <w:ind w:firstLine="640" w:firstLineChars="200"/>
        <w:rPr>
          <w:rFonts w:eastAsia="仿宋_GB2312" w:cs="仿宋_GB2312"/>
          <w:sz w:val="32"/>
          <w:szCs w:val="32"/>
        </w:rPr>
      </w:pPr>
    </w:p>
    <w:p w14:paraId="5DA2CD42">
      <w:pPr>
        <w:pStyle w:val="29"/>
        <w:spacing w:line="600" w:lineRule="exact"/>
        <w:ind w:firstLine="640"/>
        <w:outlineLvl w:val="1"/>
        <w:rPr>
          <w:rFonts w:eastAsia="黑体"/>
          <w:sz w:val="32"/>
          <w:szCs w:val="32"/>
        </w:rPr>
      </w:pPr>
      <w:bookmarkStart w:id="24" w:name="_Toc15396604"/>
      <w:bookmarkStart w:id="25" w:name="_Toc15377206"/>
      <w:bookmarkStart w:id="26" w:name="_Toc19189"/>
      <w:r>
        <w:rPr>
          <w:rFonts w:hint="eastAsia" w:eastAsia="黑体"/>
          <w:sz w:val="32"/>
          <w:szCs w:val="32"/>
        </w:rPr>
        <w:t>二、收入决算情况说明</w:t>
      </w:r>
      <w:bookmarkEnd w:id="24"/>
      <w:bookmarkEnd w:id="25"/>
      <w:bookmarkEnd w:id="26"/>
    </w:p>
    <w:p w14:paraId="4FEEE255">
      <w:pPr>
        <w:pStyle w:val="29"/>
        <w:spacing w:line="600" w:lineRule="exact"/>
        <w:ind w:firstLine="640"/>
        <w:outlineLvl w:val="1"/>
        <w:rPr>
          <w:rFonts w:hint="eastAsia" w:ascii="Times New Roman" w:hAnsi="Times New Roman" w:eastAsia="仿宋_GB2312" w:cs="仿宋_GB2312"/>
          <w:sz w:val="32"/>
          <w:szCs w:val="32"/>
        </w:rPr>
      </w:pPr>
      <w:bookmarkStart w:id="27" w:name="_Toc6599"/>
      <w:bookmarkStart w:id="28" w:name="_Toc26607"/>
      <w:r>
        <w:rPr>
          <w:rFonts w:hint="eastAsia" w:eastAsia="仿宋_GB2312" w:cs="仿宋_GB2312"/>
          <w:sz w:val="32"/>
          <w:szCs w:val="32"/>
        </w:rPr>
        <w:t>2025年度本年收入合计</w:t>
      </w:r>
      <w:r>
        <w:rPr>
          <w:rFonts w:hint="eastAsia" w:ascii="Times New Roman" w:hAnsi="Times New Roman" w:eastAsia="仿宋_GB2312" w:cs="仿宋_GB2312"/>
          <w:sz w:val="32"/>
          <w:szCs w:val="32"/>
          <w:lang w:val="en-US" w:eastAsia="zh-CN"/>
        </w:rPr>
        <w:t>96275.4</w:t>
      </w:r>
      <w:r>
        <w:rPr>
          <w:rFonts w:hint="eastAsia" w:eastAsia="仿宋_GB2312" w:cs="仿宋_GB2312"/>
          <w:sz w:val="32"/>
          <w:szCs w:val="32"/>
          <w:lang w:val="en-US" w:eastAsia="zh-CN"/>
        </w:rPr>
        <w:t>7</w:t>
      </w:r>
      <w:r>
        <w:rPr>
          <w:rFonts w:hint="eastAsia" w:ascii="Times New Roman" w:hAnsi="Times New Roman" w:eastAsia="仿宋_GB2312" w:cs="仿宋_GB2312"/>
          <w:sz w:val="32"/>
          <w:szCs w:val="32"/>
        </w:rPr>
        <w:t>万元，其中：一般公共预算财政拨款收入2879.58万元，占</w:t>
      </w:r>
      <w:r>
        <w:rPr>
          <w:rFonts w:hint="eastAsia" w:eastAsia="仿宋_GB2312" w:cs="仿宋_GB2312"/>
          <w:sz w:val="32"/>
          <w:szCs w:val="32"/>
          <w:lang w:val="en-US" w:eastAsia="zh-CN"/>
        </w:rPr>
        <w:t>3</w:t>
      </w:r>
      <w:r>
        <w:rPr>
          <w:rFonts w:hint="eastAsia" w:ascii="Times New Roman" w:hAnsi="Times New Roman" w:eastAsia="仿宋_GB2312" w:cs="仿宋_GB2312"/>
          <w:sz w:val="32"/>
          <w:szCs w:val="32"/>
        </w:rPr>
        <w:t>%；事业收入92432.4万元，占</w:t>
      </w:r>
      <w:r>
        <w:rPr>
          <w:rFonts w:hint="eastAsia" w:ascii="Times New Roman" w:hAnsi="Times New Roman" w:eastAsia="仿宋_GB2312" w:cs="仿宋_GB2312"/>
          <w:sz w:val="32"/>
          <w:szCs w:val="32"/>
          <w:lang w:val="en-US" w:eastAsia="zh-CN"/>
        </w:rPr>
        <w:t>96</w:t>
      </w:r>
      <w:r>
        <w:rPr>
          <w:rFonts w:hint="eastAsia" w:ascii="Times New Roman" w:hAnsi="Times New Roman" w:eastAsia="仿宋_GB2312" w:cs="仿宋_GB2312"/>
          <w:sz w:val="32"/>
          <w:szCs w:val="32"/>
        </w:rPr>
        <w:t>%；其他收入963.48万元，占</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w:t>
      </w:r>
      <w:bookmarkEnd w:id="27"/>
      <w:bookmarkEnd w:id="28"/>
    </w:p>
    <w:p w14:paraId="4A27C269">
      <w:pPr>
        <w:pStyle w:val="29"/>
        <w:spacing w:line="600" w:lineRule="exact"/>
        <w:ind w:firstLine="640"/>
        <w:outlineLvl w:val="1"/>
        <w:rPr>
          <w:rFonts w:eastAsia="仿宋_GB2312" w:cs="仿宋_GB2312"/>
          <w:sz w:val="32"/>
          <w:szCs w:val="32"/>
        </w:rPr>
      </w:pPr>
      <w:bookmarkStart w:id="29" w:name="_Toc3501"/>
      <w:bookmarkStart w:id="30" w:name="_Toc27955"/>
      <w:r>
        <w:rPr>
          <w:rFonts w:hint="eastAsia" w:eastAsia="仿宋_GB2312" w:cs="仿宋_GB2312"/>
          <w:sz w:val="32"/>
          <w:szCs w:val="32"/>
        </w:rPr>
        <w:t>（图2：收入决算结构图）（饼状图）</w:t>
      </w:r>
      <w:bookmarkEnd w:id="29"/>
      <w:bookmarkEnd w:id="30"/>
    </w:p>
    <w:p w14:paraId="49C5220D">
      <w:pPr>
        <w:ind w:firstLine="800" w:firstLineChars="250"/>
        <w:rPr>
          <w:rFonts w:eastAsia="仿宋_GB2312" w:cs="仿宋_GB2312"/>
          <w:sz w:val="32"/>
          <w:szCs w:val="32"/>
        </w:rPr>
      </w:pPr>
    </w:p>
    <w:p w14:paraId="47CD241D">
      <w:pPr>
        <w:pStyle w:val="2"/>
      </w:pPr>
      <w:bookmarkStart w:id="31" w:name="_Toc23625"/>
      <w:bookmarkStart w:id="32" w:name="_Toc3366"/>
      <w:r>
        <w:rPr>
          <w:rFonts w:hint="eastAsia"/>
          <w:lang w:eastAsia="zh-CN"/>
        </w:rPr>
        <w:drawing>
          <wp:inline distT="0" distB="0" distL="114300" distR="114300">
            <wp:extent cx="3785235" cy="2857500"/>
            <wp:effectExtent l="5080" t="4445" r="698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31"/>
      <w:bookmarkEnd w:id="32"/>
    </w:p>
    <w:p w14:paraId="2C2C7B94">
      <w:pPr>
        <w:pStyle w:val="29"/>
        <w:spacing w:line="600" w:lineRule="exact"/>
        <w:ind w:firstLine="640"/>
        <w:outlineLvl w:val="1"/>
        <w:rPr>
          <w:rStyle w:val="31"/>
          <w:rFonts w:ascii="Times New Roman" w:hAnsi="Times New Roman" w:eastAsia="黑体"/>
          <w:b w:val="0"/>
        </w:rPr>
      </w:pPr>
      <w:bookmarkStart w:id="33" w:name="_Toc15396605"/>
      <w:bookmarkStart w:id="34" w:name="_Toc18580"/>
      <w:bookmarkStart w:id="35" w:name="_Toc15377207"/>
      <w:r>
        <w:rPr>
          <w:rFonts w:hint="eastAsia" w:eastAsia="黑体"/>
          <w:sz w:val="32"/>
          <w:szCs w:val="32"/>
        </w:rPr>
        <w:t>三、支</w:t>
      </w:r>
      <w:r>
        <w:rPr>
          <w:rStyle w:val="31"/>
          <w:rFonts w:hint="eastAsia" w:ascii="Times New Roman" w:hAnsi="Times New Roman" w:eastAsia="黑体"/>
          <w:b w:val="0"/>
        </w:rPr>
        <w:t>出决算情况说明</w:t>
      </w:r>
      <w:bookmarkEnd w:id="33"/>
      <w:bookmarkEnd w:id="34"/>
      <w:bookmarkEnd w:id="35"/>
    </w:p>
    <w:p w14:paraId="69F97FE3">
      <w:pPr>
        <w:pStyle w:val="29"/>
        <w:spacing w:line="600" w:lineRule="exact"/>
        <w:ind w:firstLine="640"/>
        <w:outlineLvl w:val="1"/>
        <w:rPr>
          <w:rFonts w:eastAsia="仿宋_GB2312" w:cs="仿宋_GB2312"/>
          <w:b/>
          <w:bCs/>
          <w:sz w:val="32"/>
          <w:szCs w:val="32"/>
        </w:rPr>
      </w:pPr>
      <w:bookmarkStart w:id="36" w:name="_Toc1262"/>
      <w:bookmarkStart w:id="37" w:name="_Toc8102"/>
      <w:r>
        <w:rPr>
          <w:rFonts w:hint="eastAsia" w:eastAsia="仿宋_GB2312" w:cs="仿宋_GB2312"/>
          <w:sz w:val="32"/>
          <w:szCs w:val="32"/>
        </w:rPr>
        <w:t>2025年度本年支出合计</w:t>
      </w:r>
      <w:r>
        <w:rPr>
          <w:rFonts w:hint="eastAsia" w:ascii="仿宋" w:hAnsi="仿宋" w:eastAsia="仿宋" w:cs="仿宋"/>
          <w:sz w:val="32"/>
          <w:szCs w:val="32"/>
        </w:rPr>
        <w:t>92600.05</w:t>
      </w:r>
      <w:r>
        <w:rPr>
          <w:rFonts w:hint="eastAsia" w:eastAsia="仿宋_GB2312" w:cs="仿宋_GB2312"/>
          <w:sz w:val="32"/>
          <w:szCs w:val="32"/>
        </w:rPr>
        <w:t>万元，其中：基本支出</w:t>
      </w:r>
      <w:r>
        <w:rPr>
          <w:rFonts w:hint="eastAsia" w:eastAsia="仿宋_GB2312" w:cs="仿宋_GB2312"/>
          <w:sz w:val="32"/>
          <w:szCs w:val="32"/>
          <w:lang w:val="en-US" w:eastAsia="zh-CN"/>
        </w:rPr>
        <w:t>83958.79</w:t>
      </w:r>
      <w:r>
        <w:rPr>
          <w:rFonts w:hint="eastAsia" w:eastAsia="仿宋_GB2312" w:cs="仿宋_GB2312"/>
          <w:sz w:val="32"/>
          <w:szCs w:val="32"/>
        </w:rPr>
        <w:t>万元，占</w:t>
      </w:r>
      <w:r>
        <w:rPr>
          <w:rFonts w:hint="eastAsia" w:eastAsia="仿宋_GB2312" w:cs="仿宋_GB2312"/>
          <w:sz w:val="32"/>
          <w:szCs w:val="32"/>
          <w:lang w:val="en-US" w:eastAsia="zh-CN"/>
        </w:rPr>
        <w:t>90.7</w:t>
      </w:r>
      <w:r>
        <w:rPr>
          <w:rFonts w:hint="eastAsia" w:eastAsia="仿宋_GB2312" w:cs="仿宋_GB2312"/>
          <w:sz w:val="32"/>
          <w:szCs w:val="32"/>
        </w:rPr>
        <w:t>%；项目支出</w:t>
      </w:r>
      <w:r>
        <w:rPr>
          <w:rFonts w:hint="eastAsia" w:eastAsia="仿宋_GB2312" w:cs="仿宋_GB2312"/>
          <w:sz w:val="32"/>
          <w:szCs w:val="32"/>
          <w:lang w:val="en-US" w:eastAsia="zh-CN"/>
        </w:rPr>
        <w:t>8641.25</w:t>
      </w:r>
      <w:r>
        <w:rPr>
          <w:rFonts w:hint="eastAsia" w:eastAsia="仿宋_GB2312" w:cs="仿宋_GB2312"/>
          <w:sz w:val="32"/>
          <w:szCs w:val="32"/>
        </w:rPr>
        <w:t>万元，占</w:t>
      </w:r>
      <w:r>
        <w:rPr>
          <w:rFonts w:hint="eastAsia" w:eastAsia="仿宋_GB2312" w:cs="仿宋_GB2312"/>
          <w:sz w:val="32"/>
          <w:szCs w:val="32"/>
          <w:lang w:val="en-US" w:eastAsia="zh-CN"/>
        </w:rPr>
        <w:t>9.3</w:t>
      </w:r>
      <w:r>
        <w:rPr>
          <w:rFonts w:hint="eastAsia" w:eastAsia="仿宋_GB2312" w:cs="仿宋_GB2312"/>
          <w:sz w:val="32"/>
          <w:szCs w:val="32"/>
        </w:rPr>
        <w:t>%。</w:t>
      </w:r>
      <w:bookmarkEnd w:id="36"/>
      <w:bookmarkEnd w:id="37"/>
    </w:p>
    <w:p w14:paraId="462A2D9C">
      <w:pPr>
        <w:pStyle w:val="29"/>
        <w:spacing w:line="600" w:lineRule="exact"/>
        <w:ind w:firstLine="640"/>
        <w:outlineLvl w:val="1"/>
        <w:rPr>
          <w:rFonts w:eastAsia="仿宋_GB2312" w:cs="仿宋_GB2312"/>
          <w:sz w:val="32"/>
          <w:szCs w:val="32"/>
        </w:rPr>
      </w:pPr>
      <w:bookmarkStart w:id="38" w:name="_Toc28514"/>
      <w:bookmarkStart w:id="39" w:name="_Toc14866"/>
      <w:r>
        <w:rPr>
          <w:rFonts w:hint="eastAsia" w:eastAsia="仿宋_GB2312" w:cs="仿宋_GB2312"/>
          <w:sz w:val="32"/>
          <w:szCs w:val="32"/>
        </w:rPr>
        <w:t>（图3：支出决算结构图）（饼状图）</w:t>
      </w:r>
      <w:bookmarkEnd w:id="38"/>
      <w:bookmarkEnd w:id="39"/>
    </w:p>
    <w:p w14:paraId="2655C548">
      <w:pPr>
        <w:ind w:firstLine="800" w:firstLineChars="250"/>
      </w:pPr>
      <w:r>
        <w:rPr>
          <w:rFonts w:hint="eastAsia" w:ascii="Times New Roman" w:hAnsi="Times New Roman" w:eastAsia="仿宋_GB2312" w:cs="仿宋_GB2312"/>
          <w:color w:val="auto"/>
          <w:sz w:val="32"/>
          <w:szCs w:val="32"/>
          <w:highlight w:val="none"/>
          <w:lang w:eastAsia="zh-CN"/>
        </w:rPr>
        <w:drawing>
          <wp:inline distT="0" distB="0" distL="114300" distR="114300">
            <wp:extent cx="4203700" cy="1726565"/>
            <wp:effectExtent l="5080" t="5080" r="7620" b="82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CF0C92">
      <w:pPr>
        <w:spacing w:line="600" w:lineRule="exact"/>
        <w:ind w:firstLine="640" w:firstLineChars="200"/>
        <w:outlineLvl w:val="1"/>
        <w:rPr>
          <w:rStyle w:val="31"/>
          <w:rFonts w:ascii="Times New Roman" w:hAnsi="Times New Roman" w:eastAsia="黑体"/>
          <w:b w:val="0"/>
        </w:rPr>
      </w:pPr>
      <w:bookmarkStart w:id="40" w:name="_Toc15377208"/>
      <w:bookmarkStart w:id="41" w:name="_Toc20269"/>
      <w:bookmarkStart w:id="42"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40"/>
      <w:bookmarkEnd w:id="41"/>
      <w:bookmarkEnd w:id="42"/>
    </w:p>
    <w:p w14:paraId="08F1856D">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2879.58</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1162.25</w:t>
      </w:r>
      <w:r>
        <w:rPr>
          <w:rFonts w:hint="eastAsia" w:eastAsia="仿宋_GB2312" w:cs="仿宋_GB2312"/>
          <w:sz w:val="32"/>
          <w:szCs w:val="32"/>
        </w:rPr>
        <w:t>万元，增长</w:t>
      </w:r>
      <w:r>
        <w:rPr>
          <w:rFonts w:hint="eastAsia" w:eastAsia="仿宋_GB2312" w:cs="仿宋_GB2312"/>
          <w:sz w:val="32"/>
          <w:szCs w:val="32"/>
          <w:lang w:val="en-US" w:eastAsia="zh-CN"/>
        </w:rPr>
        <w:t>67.7</w:t>
      </w:r>
      <w:r>
        <w:rPr>
          <w:rFonts w:hint="eastAsia" w:eastAsia="仿宋_GB2312" w:cs="仿宋_GB2312"/>
          <w:sz w:val="32"/>
          <w:szCs w:val="32"/>
        </w:rPr>
        <w:t>%。主要变动原因是使用了2024年结转的卫生健康人才培养、中医药旗舰科室等资金705万元，</w:t>
      </w:r>
      <w:r>
        <w:rPr>
          <w:rFonts w:hint="eastAsia" w:eastAsia="仿宋_GB2312" w:cs="仿宋_GB2312"/>
          <w:sz w:val="32"/>
          <w:szCs w:val="32"/>
          <w:lang w:val="en-US" w:eastAsia="zh-CN"/>
        </w:rPr>
        <w:t>2025年</w:t>
      </w:r>
      <w:r>
        <w:rPr>
          <w:rFonts w:hint="eastAsia" w:eastAsia="仿宋_GB2312" w:cs="仿宋_GB2312"/>
          <w:sz w:val="32"/>
          <w:szCs w:val="32"/>
          <w:lang w:eastAsia="zh-CN"/>
        </w:rPr>
        <w:t>省级财政补助“互联网</w:t>
      </w:r>
      <w:r>
        <w:rPr>
          <w:rFonts w:hint="eastAsia" w:eastAsia="仿宋_GB2312" w:cs="仿宋_GB2312"/>
          <w:sz w:val="32"/>
          <w:szCs w:val="32"/>
          <w:lang w:val="en-US" w:eastAsia="zh-CN"/>
        </w:rPr>
        <w:t>+</w:t>
      </w:r>
      <w:r>
        <w:rPr>
          <w:rFonts w:hint="eastAsia" w:eastAsia="仿宋_GB2312" w:cs="仿宋_GB2312"/>
          <w:sz w:val="32"/>
          <w:szCs w:val="32"/>
          <w:lang w:eastAsia="zh-CN"/>
        </w:rPr>
        <w:t>”中医医院建设</w:t>
      </w:r>
      <w:r>
        <w:rPr>
          <w:rFonts w:hint="eastAsia" w:eastAsia="仿宋_GB2312" w:cs="仿宋_GB2312"/>
          <w:sz w:val="32"/>
          <w:szCs w:val="32"/>
          <w:lang w:val="en-US" w:eastAsia="zh-CN"/>
        </w:rPr>
        <w:t>200万元，2025年中医药传承创新发展——重点专科建设（老年科）100万元，</w:t>
      </w:r>
      <w:r>
        <w:rPr>
          <w:rFonts w:hint="eastAsia" w:eastAsia="仿宋_GB2312" w:cs="仿宋_GB2312"/>
          <w:sz w:val="32"/>
          <w:szCs w:val="32"/>
        </w:rPr>
        <w:t>2025年财政资金使用及时，无结转资金。</w:t>
      </w:r>
    </w:p>
    <w:p w14:paraId="0989B762">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7DA73E9">
      <w:pPr>
        <w:pStyle w:val="2"/>
      </w:pPr>
      <w:bookmarkStart w:id="43" w:name="_Toc12993"/>
      <w:bookmarkStart w:id="44" w:name="_Toc6476"/>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613275" cy="1956435"/>
            <wp:effectExtent l="5080" t="5080" r="4445" b="69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43"/>
      <w:bookmarkEnd w:id="44"/>
    </w:p>
    <w:p w14:paraId="238FB079">
      <w:pPr>
        <w:spacing w:line="600" w:lineRule="exact"/>
        <w:ind w:firstLine="640" w:firstLineChars="200"/>
        <w:outlineLvl w:val="1"/>
        <w:rPr>
          <w:rStyle w:val="31"/>
          <w:rFonts w:ascii="Times New Roman" w:hAnsi="Times New Roman" w:eastAsia="黑体"/>
          <w:b w:val="0"/>
        </w:rPr>
      </w:pPr>
      <w:bookmarkStart w:id="45" w:name="_Toc15396607"/>
      <w:bookmarkStart w:id="46" w:name="_Toc15377209"/>
      <w:bookmarkStart w:id="47" w:name="_Toc27036"/>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45"/>
      <w:bookmarkEnd w:id="46"/>
      <w:bookmarkEnd w:id="47"/>
    </w:p>
    <w:p w14:paraId="0741D105">
      <w:pPr>
        <w:spacing w:line="600" w:lineRule="exact"/>
        <w:ind w:firstLine="643" w:firstLineChars="200"/>
        <w:outlineLvl w:val="2"/>
        <w:rPr>
          <w:rFonts w:eastAsia="楷体_GB2312" w:cs="楷体_GB2312"/>
          <w:b/>
          <w:sz w:val="32"/>
          <w:szCs w:val="32"/>
        </w:rPr>
      </w:pPr>
      <w:bookmarkStart w:id="48" w:name="_Toc15377210"/>
      <w:bookmarkStart w:id="49" w:name="_Toc27411"/>
      <w:bookmarkStart w:id="50" w:name="_Toc7430"/>
      <w:r>
        <w:rPr>
          <w:rFonts w:hint="eastAsia" w:eastAsia="楷体_GB2312" w:cs="楷体_GB2312"/>
          <w:b/>
          <w:sz w:val="32"/>
          <w:szCs w:val="32"/>
        </w:rPr>
        <w:t>（一）一般公共预算财政拨款支出决算总体情况</w:t>
      </w:r>
      <w:bookmarkEnd w:id="48"/>
      <w:bookmarkEnd w:id="49"/>
      <w:bookmarkEnd w:id="50"/>
    </w:p>
    <w:p w14:paraId="6050CB61">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2879.58</w:t>
      </w:r>
      <w:r>
        <w:rPr>
          <w:rFonts w:hint="eastAsia" w:eastAsia="仿宋_GB2312" w:cs="仿宋_GB2312"/>
          <w:sz w:val="32"/>
          <w:szCs w:val="32"/>
        </w:rPr>
        <w:t>万元，占本年支出合计的</w:t>
      </w:r>
      <w:r>
        <w:rPr>
          <w:rFonts w:hint="eastAsia" w:eastAsia="仿宋_GB2312" w:cs="仿宋_GB2312"/>
          <w:sz w:val="32"/>
          <w:szCs w:val="32"/>
          <w:lang w:val="en-US" w:eastAsia="zh-CN"/>
        </w:rPr>
        <w:t>3.1</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1162.25</w:t>
      </w:r>
      <w:r>
        <w:rPr>
          <w:rFonts w:hint="eastAsia" w:eastAsia="仿宋_GB2312" w:cs="仿宋_GB2312"/>
          <w:sz w:val="32"/>
          <w:szCs w:val="32"/>
        </w:rPr>
        <w:t>万元，增长</w:t>
      </w:r>
      <w:r>
        <w:rPr>
          <w:rFonts w:hint="eastAsia" w:eastAsia="仿宋_GB2312" w:cs="仿宋_GB2312"/>
          <w:sz w:val="32"/>
          <w:szCs w:val="32"/>
          <w:lang w:val="en-US" w:eastAsia="zh-CN"/>
        </w:rPr>
        <w:t>67.7</w:t>
      </w:r>
      <w:r>
        <w:rPr>
          <w:rFonts w:hint="eastAsia" w:eastAsia="仿宋_GB2312" w:cs="仿宋_GB2312"/>
          <w:sz w:val="32"/>
          <w:szCs w:val="32"/>
        </w:rPr>
        <w:t>%。主要变动原因是使用了2024年结转的卫生健康人才培养、中医药旗舰科室等资金705万元，</w:t>
      </w:r>
      <w:r>
        <w:rPr>
          <w:rFonts w:hint="eastAsia" w:eastAsia="仿宋_GB2312" w:cs="仿宋_GB2312"/>
          <w:sz w:val="32"/>
          <w:szCs w:val="32"/>
          <w:lang w:val="en-US" w:eastAsia="zh-CN"/>
        </w:rPr>
        <w:t>2025年</w:t>
      </w:r>
      <w:r>
        <w:rPr>
          <w:rFonts w:hint="eastAsia" w:eastAsia="仿宋_GB2312" w:cs="仿宋_GB2312"/>
          <w:sz w:val="32"/>
          <w:szCs w:val="32"/>
          <w:lang w:eastAsia="zh-CN"/>
        </w:rPr>
        <w:t>省级财政补助“互联网</w:t>
      </w:r>
      <w:r>
        <w:rPr>
          <w:rFonts w:hint="eastAsia" w:eastAsia="仿宋_GB2312" w:cs="仿宋_GB2312"/>
          <w:sz w:val="32"/>
          <w:szCs w:val="32"/>
          <w:lang w:val="en-US" w:eastAsia="zh-CN"/>
        </w:rPr>
        <w:t>+</w:t>
      </w:r>
      <w:r>
        <w:rPr>
          <w:rFonts w:hint="eastAsia" w:eastAsia="仿宋_GB2312" w:cs="仿宋_GB2312"/>
          <w:sz w:val="32"/>
          <w:szCs w:val="32"/>
          <w:lang w:eastAsia="zh-CN"/>
        </w:rPr>
        <w:t>”中医医院建设</w:t>
      </w:r>
      <w:r>
        <w:rPr>
          <w:rFonts w:hint="eastAsia" w:eastAsia="仿宋_GB2312" w:cs="仿宋_GB2312"/>
          <w:sz w:val="32"/>
          <w:szCs w:val="32"/>
          <w:lang w:val="en-US" w:eastAsia="zh-CN"/>
        </w:rPr>
        <w:t>200万元，2025年中医药传承创新发展——重点专科建设（老年科）100万元，</w:t>
      </w:r>
      <w:r>
        <w:rPr>
          <w:rFonts w:hint="eastAsia" w:eastAsia="仿宋_GB2312" w:cs="仿宋_GB2312"/>
          <w:sz w:val="32"/>
          <w:szCs w:val="32"/>
        </w:rPr>
        <w:t>2025年财政资金使用及时，无结转资金。</w:t>
      </w:r>
    </w:p>
    <w:p w14:paraId="5E98E21A">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182C2D13">
      <w:pPr>
        <w:spacing w:line="600" w:lineRule="exact"/>
        <w:ind w:firstLine="640"/>
        <w:rPr>
          <w:rFonts w:eastAsia="仿宋_GB2312" w:cs="仿宋_GB2312"/>
          <w:sz w:val="32"/>
          <w:szCs w:val="32"/>
        </w:rPr>
      </w:pPr>
    </w:p>
    <w:p w14:paraId="0FA01987">
      <w:pPr>
        <w:spacing w:line="600" w:lineRule="exact"/>
        <w:ind w:firstLine="640" w:firstLineChars="200"/>
        <w:outlineLvl w:val="2"/>
        <w:rPr>
          <w:rFonts w:hint="eastAsia" w:eastAsia="楷体_GB2312" w:cs="楷体_GB2312"/>
          <w:b/>
          <w:sz w:val="32"/>
          <w:szCs w:val="32"/>
        </w:rPr>
      </w:pPr>
      <w:bookmarkStart w:id="51" w:name="_Toc15377211"/>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1" locked="0" layoutInCell="1" allowOverlap="1">
            <wp:simplePos x="0" y="0"/>
            <wp:positionH relativeFrom="column">
              <wp:posOffset>296545</wp:posOffset>
            </wp:positionH>
            <wp:positionV relativeFrom="paragraph">
              <wp:posOffset>-225425</wp:posOffset>
            </wp:positionV>
            <wp:extent cx="4058920" cy="1691640"/>
            <wp:effectExtent l="4445" t="5080" r="13335" b="5080"/>
            <wp:wrapTight wrapText="bothSides">
              <wp:wrapPolygon>
                <wp:start x="-24" y="-65"/>
                <wp:lineTo x="-24" y="21503"/>
                <wp:lineTo x="21536" y="21503"/>
                <wp:lineTo x="21536" y="-65"/>
                <wp:lineTo x="-24" y="-65"/>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55BB71">
      <w:pPr>
        <w:spacing w:line="600" w:lineRule="exact"/>
        <w:ind w:firstLine="643" w:firstLineChars="200"/>
        <w:outlineLvl w:val="2"/>
        <w:rPr>
          <w:rFonts w:hint="eastAsia" w:eastAsia="楷体_GB2312" w:cs="楷体_GB2312"/>
          <w:b/>
          <w:sz w:val="32"/>
          <w:szCs w:val="32"/>
        </w:rPr>
      </w:pPr>
    </w:p>
    <w:p w14:paraId="3C2FC74C">
      <w:pPr>
        <w:spacing w:line="600" w:lineRule="exact"/>
        <w:ind w:firstLine="643" w:firstLineChars="200"/>
        <w:outlineLvl w:val="2"/>
        <w:rPr>
          <w:rFonts w:hint="eastAsia" w:eastAsia="楷体_GB2312" w:cs="楷体_GB2312"/>
          <w:b/>
          <w:sz w:val="32"/>
          <w:szCs w:val="32"/>
        </w:rPr>
      </w:pPr>
    </w:p>
    <w:p w14:paraId="7FE5D6D5">
      <w:pPr>
        <w:spacing w:line="600" w:lineRule="exact"/>
        <w:outlineLvl w:val="2"/>
        <w:rPr>
          <w:rFonts w:hint="eastAsia" w:eastAsia="楷体_GB2312" w:cs="楷体_GB2312"/>
          <w:b/>
          <w:sz w:val="32"/>
          <w:szCs w:val="32"/>
        </w:rPr>
      </w:pPr>
    </w:p>
    <w:p w14:paraId="5C94DE4E">
      <w:pPr>
        <w:spacing w:line="600" w:lineRule="exact"/>
        <w:ind w:firstLine="643" w:firstLineChars="200"/>
        <w:outlineLvl w:val="2"/>
        <w:rPr>
          <w:rFonts w:eastAsia="楷体_GB2312" w:cs="楷体_GB2312"/>
          <w:b/>
          <w:sz w:val="32"/>
          <w:szCs w:val="32"/>
        </w:rPr>
      </w:pPr>
      <w:bookmarkStart w:id="52" w:name="_Toc17034"/>
      <w:bookmarkStart w:id="53" w:name="_Toc3306"/>
      <w:r>
        <w:rPr>
          <w:rFonts w:hint="eastAsia" w:eastAsia="楷体_GB2312" w:cs="楷体_GB2312"/>
          <w:b/>
          <w:sz w:val="32"/>
          <w:szCs w:val="32"/>
        </w:rPr>
        <w:t>（二）一般公共预算财政拨款支出决算结构情况</w:t>
      </w:r>
      <w:bookmarkEnd w:id="51"/>
      <w:bookmarkEnd w:id="52"/>
      <w:bookmarkEnd w:id="53"/>
    </w:p>
    <w:p w14:paraId="2101220C">
      <w:pPr>
        <w:spacing w:line="600" w:lineRule="exact"/>
        <w:ind w:firstLine="640"/>
        <w:rPr>
          <w:rFonts w:hint="eastAsia" w:eastAsia="仿宋_GB2312" w:cs="仿宋_GB2312"/>
          <w:b/>
          <w:bCs/>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2879.58</w:t>
      </w:r>
      <w:r>
        <w:rPr>
          <w:rFonts w:hint="eastAsia" w:eastAsia="仿宋_GB2312" w:cs="仿宋_GB2312"/>
          <w:sz w:val="32"/>
          <w:szCs w:val="32"/>
        </w:rPr>
        <w:t>万元，主要用于以下方面：科学技术支出</w:t>
      </w:r>
      <w:r>
        <w:rPr>
          <w:rFonts w:hint="eastAsia" w:eastAsia="仿宋_GB2312" w:cs="仿宋_GB2312"/>
          <w:sz w:val="32"/>
          <w:szCs w:val="32"/>
          <w:lang w:val="en-US" w:eastAsia="zh-CN"/>
        </w:rPr>
        <w:t>55</w:t>
      </w:r>
      <w:r>
        <w:rPr>
          <w:rFonts w:hint="eastAsia" w:eastAsia="仿宋_GB2312" w:cs="仿宋_GB2312"/>
          <w:sz w:val="32"/>
          <w:szCs w:val="32"/>
        </w:rPr>
        <w:t>万元，占</w:t>
      </w:r>
      <w:r>
        <w:rPr>
          <w:rFonts w:hint="eastAsia" w:eastAsia="仿宋_GB2312" w:cs="仿宋_GB2312"/>
          <w:sz w:val="32"/>
          <w:szCs w:val="32"/>
          <w:lang w:val="en-US" w:eastAsia="zh-CN"/>
        </w:rPr>
        <w:t>1.9</w:t>
      </w:r>
      <w:r>
        <w:rPr>
          <w:rFonts w:hint="eastAsia" w:eastAsia="仿宋_GB2312" w:cs="仿宋_GB2312"/>
          <w:sz w:val="32"/>
          <w:szCs w:val="32"/>
        </w:rPr>
        <w:t>%；社会保障和就业支出</w:t>
      </w:r>
      <w:r>
        <w:rPr>
          <w:rFonts w:hint="eastAsia" w:eastAsia="仿宋_GB2312" w:cs="仿宋_GB2312"/>
          <w:sz w:val="32"/>
          <w:szCs w:val="32"/>
          <w:lang w:val="en-US" w:eastAsia="zh-CN"/>
        </w:rPr>
        <w:t>793.78</w:t>
      </w:r>
      <w:r>
        <w:rPr>
          <w:rFonts w:hint="eastAsia" w:eastAsia="仿宋_GB2312" w:cs="仿宋_GB2312"/>
          <w:sz w:val="32"/>
          <w:szCs w:val="32"/>
        </w:rPr>
        <w:t>万元，占</w:t>
      </w:r>
      <w:r>
        <w:rPr>
          <w:rFonts w:hint="eastAsia" w:eastAsia="仿宋_GB2312" w:cs="仿宋_GB2312"/>
          <w:sz w:val="32"/>
          <w:szCs w:val="32"/>
          <w:lang w:val="en-US" w:eastAsia="zh-CN"/>
        </w:rPr>
        <w:t>27.6</w:t>
      </w:r>
      <w:r>
        <w:rPr>
          <w:rFonts w:hint="eastAsia" w:eastAsia="仿宋_GB2312" w:cs="仿宋_GB2312"/>
          <w:sz w:val="32"/>
          <w:szCs w:val="32"/>
        </w:rPr>
        <w:t>%；卫生健康支出</w:t>
      </w:r>
      <w:r>
        <w:rPr>
          <w:rFonts w:hint="eastAsia" w:eastAsia="仿宋_GB2312" w:cs="仿宋_GB2312"/>
          <w:sz w:val="32"/>
          <w:szCs w:val="32"/>
          <w:lang w:val="en-US" w:eastAsia="zh-CN"/>
        </w:rPr>
        <w:t>2030.8</w:t>
      </w:r>
      <w:r>
        <w:rPr>
          <w:rFonts w:hint="eastAsia" w:eastAsia="仿宋_GB2312" w:cs="仿宋_GB2312"/>
          <w:sz w:val="32"/>
          <w:szCs w:val="32"/>
        </w:rPr>
        <w:t>万元，占</w:t>
      </w:r>
      <w:r>
        <w:rPr>
          <w:rFonts w:hint="eastAsia" w:eastAsia="仿宋_GB2312" w:cs="仿宋_GB2312"/>
          <w:sz w:val="32"/>
          <w:szCs w:val="32"/>
          <w:lang w:val="en-US" w:eastAsia="zh-CN"/>
        </w:rPr>
        <w:t>70.5</w:t>
      </w:r>
      <w:r>
        <w:rPr>
          <w:rFonts w:hint="eastAsia" w:eastAsia="仿宋_GB2312" w:cs="仿宋_GB2312"/>
          <w:sz w:val="32"/>
          <w:szCs w:val="32"/>
        </w:rPr>
        <w:t>%。</w:t>
      </w:r>
    </w:p>
    <w:p w14:paraId="000F9734">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14:paraId="551F6860">
      <w:pPr>
        <w:spacing w:line="600" w:lineRule="exact"/>
        <w:ind w:firstLine="640"/>
        <w:rPr>
          <w:rFonts w:eastAsia="仿宋_GB2312" w:cs="仿宋_GB2312"/>
          <w:sz w:val="32"/>
          <w:szCs w:val="32"/>
        </w:rPr>
      </w:pPr>
      <w:r>
        <w:rPr>
          <w:rFonts w:hint="eastAsia" w:ascii="Times New Roman" w:hAnsi="Times New Roman" w:eastAsia="楷体_GB2312" w:cs="楷体_GB2312"/>
          <w:b/>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511810</wp:posOffset>
            </wp:positionH>
            <wp:positionV relativeFrom="paragraph">
              <wp:posOffset>123825</wp:posOffset>
            </wp:positionV>
            <wp:extent cx="3982085" cy="1139825"/>
            <wp:effectExtent l="4445" t="4445" r="13970" b="11430"/>
            <wp:wrapTight wrapText="bothSides">
              <wp:wrapPolygon>
                <wp:start x="-24" y="-84"/>
                <wp:lineTo x="-24" y="21576"/>
                <wp:lineTo x="21538" y="21576"/>
                <wp:lineTo x="21538" y="-84"/>
                <wp:lineTo x="-24" y="-84"/>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79D5FFD">
      <w:pPr>
        <w:pStyle w:val="2"/>
        <w:rPr>
          <w:rFonts w:eastAsia="仿宋_GB2312" w:cs="仿宋_GB2312"/>
          <w:sz w:val="32"/>
          <w:szCs w:val="32"/>
        </w:rPr>
      </w:pPr>
    </w:p>
    <w:p w14:paraId="087EA360"/>
    <w:p w14:paraId="2400A4E5">
      <w:pPr>
        <w:spacing w:line="600" w:lineRule="exact"/>
        <w:ind w:firstLine="643" w:firstLineChars="200"/>
        <w:outlineLvl w:val="2"/>
        <w:rPr>
          <w:rFonts w:eastAsia="楷体_GB2312" w:cs="楷体_GB2312"/>
          <w:b/>
          <w:sz w:val="32"/>
          <w:szCs w:val="32"/>
        </w:rPr>
      </w:pPr>
      <w:bookmarkStart w:id="54" w:name="_Toc15377212"/>
      <w:bookmarkStart w:id="55" w:name="_Toc25796"/>
      <w:bookmarkStart w:id="56" w:name="_Toc14377"/>
      <w:r>
        <w:rPr>
          <w:rFonts w:hint="eastAsia" w:eastAsia="楷体_GB2312" w:cs="楷体_GB2312"/>
          <w:b/>
          <w:sz w:val="32"/>
          <w:szCs w:val="32"/>
        </w:rPr>
        <w:t>（三）一般公共预算财政拨款支出决算具体情况</w:t>
      </w:r>
      <w:bookmarkEnd w:id="54"/>
      <w:bookmarkEnd w:id="55"/>
      <w:bookmarkEnd w:id="56"/>
    </w:p>
    <w:p w14:paraId="73256844">
      <w:pPr>
        <w:spacing w:line="600" w:lineRule="exact"/>
        <w:ind w:firstLine="640"/>
        <w:rPr>
          <w:rFonts w:eastAsia="仿宋_GB2312" w:cs="仿宋_GB2312"/>
          <w:sz w:val="32"/>
          <w:szCs w:val="32"/>
        </w:rPr>
      </w:pPr>
      <w:bookmarkStart w:id="57" w:name="_Toc15378460"/>
      <w:bookmarkStart w:id="58" w:name="_Toc15377444"/>
      <w:bookmarkStart w:id="59"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2879.58万元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57"/>
      <w:bookmarkEnd w:id="58"/>
      <w:bookmarkEnd w:id="59"/>
    </w:p>
    <w:p w14:paraId="2B2E587D">
      <w:pPr>
        <w:numPr>
          <w:ilvl w:val="0"/>
          <w:numId w:val="1"/>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sz w:val="32"/>
          <w:szCs w:val="32"/>
        </w:rPr>
        <w:t>科学技术</w:t>
      </w:r>
      <w:r>
        <w:rPr>
          <w:rFonts w:hint="eastAsia" w:eastAsia="仿宋_GB2312" w:cs="仿宋_GB2312"/>
          <w:sz w:val="32"/>
          <w:szCs w:val="32"/>
          <w:lang w:eastAsia="zh-CN"/>
        </w:rPr>
        <w:t>支出</w:t>
      </w:r>
      <w:r>
        <w:rPr>
          <w:rFonts w:hint="eastAsia" w:eastAsia="仿宋_GB2312" w:cs="仿宋_GB2312"/>
          <w:sz w:val="32"/>
          <w:szCs w:val="32"/>
        </w:rPr>
        <w:t>（类）其他科学技术支出（款）其他科学技术支出（项）：支出决算为</w:t>
      </w:r>
      <w:r>
        <w:rPr>
          <w:rFonts w:hint="eastAsia" w:eastAsia="仿宋_GB2312" w:cs="仿宋_GB2312"/>
          <w:sz w:val="32"/>
          <w:szCs w:val="32"/>
          <w:lang w:val="en-US" w:eastAsia="zh-CN"/>
        </w:rPr>
        <w:t>55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color w:val="auto"/>
          <w:kern w:val="2"/>
          <w:sz w:val="32"/>
          <w:szCs w:val="32"/>
          <w:highlight w:val="none"/>
          <w:lang w:val="en-US" w:eastAsia="zh-CN" w:bidi="ar-SA"/>
        </w:rPr>
        <w:t>。</w:t>
      </w:r>
    </w:p>
    <w:p w14:paraId="62E83B8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713.01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0C5C6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80.77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DDB2B3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（类）公立医院（款）中医（民族）医院（项）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4.89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9AB453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（类）公立医院（款）其他公立医院支出（项）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8C8B16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（类）公共卫生（款）基本公共卫生服务（项）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2BEC7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（类）公共卫生（款）重大公共卫生服务（项）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1195F8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（类）公共卫生（款）其他公共卫生支出（项）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63B004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（类）中医药事务（款）中医（民族医）药专项（项）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732.75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23AEF7A">
      <w:pPr>
        <w:spacing w:line="600" w:lineRule="exact"/>
        <w:ind w:firstLine="640"/>
        <w:rPr>
          <w:rFonts w:eastAsia="仿宋_GB2312" w:cs="仿宋_GB2312"/>
          <w:sz w:val="32"/>
          <w:szCs w:val="32"/>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（类）其他卫生健康支出（款）其他卫生健康支出（项）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1186.49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FA94485">
      <w:pPr>
        <w:tabs>
          <w:tab w:val="right" w:pos="8306"/>
        </w:tabs>
        <w:spacing w:line="600" w:lineRule="exact"/>
        <w:ind w:firstLine="640"/>
        <w:outlineLvl w:val="1"/>
        <w:rPr>
          <w:rStyle w:val="31"/>
          <w:rFonts w:ascii="Times New Roman" w:hAnsi="Times New Roman"/>
        </w:rPr>
      </w:pPr>
      <w:bookmarkStart w:id="60" w:name="_Toc15377214"/>
      <w:bookmarkStart w:id="61" w:name="_Toc15396608"/>
      <w:bookmarkStart w:id="62" w:name="_Toc20548"/>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60"/>
      <w:bookmarkEnd w:id="61"/>
      <w:bookmarkEnd w:id="62"/>
      <w:r>
        <w:rPr>
          <w:rStyle w:val="31"/>
          <w:rFonts w:ascii="Times New Roman" w:hAnsi="Times New Roman" w:eastAsia="黑体"/>
          <w:b w:val="0"/>
        </w:rPr>
        <w:tab/>
      </w:r>
    </w:p>
    <w:p w14:paraId="2460666B">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798.67</w:t>
      </w:r>
      <w:r>
        <w:rPr>
          <w:rFonts w:hint="eastAsia" w:eastAsia="仿宋_GB2312" w:cs="仿宋_GB2312"/>
          <w:sz w:val="32"/>
          <w:szCs w:val="32"/>
        </w:rPr>
        <w:t>万元，其中：</w:t>
      </w:r>
    </w:p>
    <w:p w14:paraId="71CB64AA">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795.91</w:t>
      </w:r>
      <w:r>
        <w:rPr>
          <w:rFonts w:hint="eastAsia" w:eastAsia="仿宋_GB2312" w:cs="仿宋_GB2312"/>
          <w:sz w:val="32"/>
          <w:szCs w:val="32"/>
        </w:rPr>
        <w:t>万元，主要包括：离休费、抚恤金、生活补助、医疗费补助。</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2.76</w:t>
      </w:r>
      <w:r>
        <w:rPr>
          <w:rFonts w:hint="eastAsia" w:eastAsia="仿宋_GB2312" w:cs="仿宋_GB2312"/>
          <w:sz w:val="32"/>
          <w:szCs w:val="32"/>
        </w:rPr>
        <w:t>万元，主要包括：其他商品和服务支出。</w:t>
      </w:r>
    </w:p>
    <w:p w14:paraId="20CFA936">
      <w:pPr>
        <w:spacing w:line="600" w:lineRule="exact"/>
        <w:ind w:firstLine="640"/>
        <w:outlineLvl w:val="1"/>
        <w:rPr>
          <w:rStyle w:val="31"/>
          <w:rFonts w:ascii="Times New Roman" w:hAnsi="Times New Roman" w:eastAsia="黑体"/>
          <w:b w:val="0"/>
        </w:rPr>
      </w:pPr>
      <w:bookmarkStart w:id="63" w:name="_Toc15396609"/>
      <w:bookmarkStart w:id="64" w:name="_Toc15377215"/>
      <w:bookmarkStart w:id="65" w:name="_Toc24806"/>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63"/>
      <w:bookmarkEnd w:id="64"/>
      <w:bookmarkEnd w:id="65"/>
    </w:p>
    <w:p w14:paraId="74E76567">
      <w:pPr>
        <w:spacing w:line="600" w:lineRule="exact"/>
        <w:ind w:firstLine="643" w:firstLineChars="200"/>
        <w:outlineLvl w:val="2"/>
        <w:rPr>
          <w:rFonts w:eastAsia="楷体_GB2312" w:cs="楷体_GB2312"/>
          <w:b/>
          <w:sz w:val="32"/>
          <w:szCs w:val="32"/>
        </w:rPr>
      </w:pPr>
      <w:bookmarkStart w:id="66" w:name="_Toc15377216"/>
      <w:bookmarkStart w:id="67" w:name="_Toc11662"/>
      <w:bookmarkStart w:id="68" w:name="_Toc13491"/>
      <w:r>
        <w:rPr>
          <w:rFonts w:hint="eastAsia" w:eastAsia="楷体_GB2312" w:cs="楷体_GB2312"/>
          <w:b/>
          <w:sz w:val="32"/>
          <w:szCs w:val="32"/>
        </w:rPr>
        <w:t>（一）财政拨款“三公”经费支出决算总体情况说明</w:t>
      </w:r>
      <w:bookmarkEnd w:id="66"/>
      <w:bookmarkEnd w:id="67"/>
      <w:bookmarkEnd w:id="68"/>
    </w:p>
    <w:p w14:paraId="3F8FA9DA">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%，较上年度增加/减少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68C2BEA2">
      <w:pPr>
        <w:spacing w:line="600" w:lineRule="exact"/>
        <w:ind w:firstLine="643" w:firstLineChars="200"/>
        <w:outlineLvl w:val="2"/>
        <w:rPr>
          <w:rFonts w:eastAsia="楷体_GB2312" w:cs="楷体_GB2312"/>
          <w:b/>
          <w:sz w:val="32"/>
          <w:szCs w:val="32"/>
        </w:rPr>
      </w:pPr>
      <w:bookmarkStart w:id="69" w:name="_Toc8750"/>
      <w:bookmarkStart w:id="70" w:name="_Toc7332"/>
      <w:bookmarkStart w:id="71" w:name="_Toc15377217"/>
      <w:r>
        <w:rPr>
          <w:rFonts w:hint="eastAsia" w:eastAsia="楷体_GB2312" w:cs="楷体_GB2312"/>
          <w:b/>
          <w:sz w:val="32"/>
          <w:szCs w:val="32"/>
        </w:rPr>
        <w:t>（二）财政拨款“三公”经费支出决算具体情况说明</w:t>
      </w:r>
      <w:bookmarkEnd w:id="69"/>
      <w:bookmarkEnd w:id="70"/>
      <w:bookmarkEnd w:id="71"/>
    </w:p>
    <w:p w14:paraId="1946EF19">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43674099">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0D03C538">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4332F5E">
      <w:pPr>
        <w:spacing w:line="600" w:lineRule="exact"/>
        <w:ind w:firstLine="640"/>
        <w:rPr>
          <w:rFonts w:eastAsia="仿宋_GB2312" w:cs="仿宋_GB2312"/>
          <w:sz w:val="32"/>
          <w:szCs w:val="32"/>
        </w:rPr>
      </w:pPr>
      <w:r>
        <w:rPr>
          <w:rFonts w:hint="eastAsia" w:eastAsia="仿宋_GB2312" w:cs="仿宋_GB2312"/>
          <w:sz w:val="32"/>
          <w:szCs w:val="32"/>
        </w:rPr>
        <w:t>开支内容包括：</w:t>
      </w:r>
      <w:r>
        <w:rPr>
          <w:rFonts w:hint="eastAsia" w:eastAsia="仿宋_GB2312" w:cs="仿宋_GB2312"/>
          <w:sz w:val="32"/>
          <w:szCs w:val="32"/>
          <w:lang w:eastAsia="zh-CN"/>
        </w:rPr>
        <w:t>无</w:t>
      </w:r>
      <w:r>
        <w:rPr>
          <w:rFonts w:hint="eastAsia" w:eastAsia="仿宋_GB2312" w:cs="仿宋_GB2312"/>
          <w:sz w:val="32"/>
          <w:szCs w:val="32"/>
        </w:rPr>
        <w:t>（团组名称、出访地点、取得成效等）</w:t>
      </w:r>
    </w:p>
    <w:p w14:paraId="07049775">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72C4B202">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69CA50D3">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万元。主要用于（具体工作）所需的公务用车燃料费、维修费、过路过桥费、保险费等支出。</w:t>
      </w:r>
    </w:p>
    <w:p w14:paraId="4058CB66">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%。其中：</w:t>
      </w:r>
    </w:p>
    <w:p w14:paraId="549A9008">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28496674">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72" w:name="_Toc15377218"/>
      <w:bookmarkStart w:id="73" w:name="_Toc15396610"/>
    </w:p>
    <w:p w14:paraId="00861F3E">
      <w:pPr>
        <w:spacing w:line="600" w:lineRule="exact"/>
        <w:ind w:firstLine="640"/>
        <w:outlineLvl w:val="1"/>
        <w:rPr>
          <w:rStyle w:val="31"/>
          <w:rFonts w:ascii="Times New Roman" w:hAnsi="Times New Roman" w:eastAsia="黑体"/>
        </w:rPr>
      </w:pPr>
      <w:bookmarkStart w:id="74" w:name="_Toc7542"/>
      <w:r>
        <w:rPr>
          <w:rFonts w:hint="eastAsia" w:eastAsia="黑体"/>
          <w:sz w:val="32"/>
          <w:szCs w:val="32"/>
        </w:rPr>
        <w:t>八、</w:t>
      </w:r>
      <w:r>
        <w:rPr>
          <w:rStyle w:val="31"/>
          <w:rFonts w:hint="eastAsia" w:ascii="Times New Roman" w:hAnsi="Times New Roman" w:eastAsia="黑体"/>
          <w:b w:val="0"/>
        </w:rPr>
        <w:t>政府性基金预算支出决算情况说明</w:t>
      </w:r>
      <w:bookmarkEnd w:id="72"/>
      <w:bookmarkEnd w:id="73"/>
      <w:bookmarkEnd w:id="74"/>
    </w:p>
    <w:p w14:paraId="6829461E">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%。与上年度相比，政府性基金预算财政拨款支出增加/减少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47DE393">
      <w:pPr>
        <w:spacing w:line="600" w:lineRule="exact"/>
        <w:ind w:left="630"/>
        <w:outlineLvl w:val="1"/>
        <w:rPr>
          <w:rStyle w:val="31"/>
          <w:rFonts w:ascii="Times New Roman" w:hAnsi="Times New Roman" w:eastAsia="黑体"/>
          <w:b w:val="0"/>
        </w:rPr>
      </w:pPr>
      <w:bookmarkStart w:id="75" w:name="_Toc15377219"/>
      <w:bookmarkStart w:id="76" w:name="_Toc2304"/>
      <w:bookmarkStart w:id="77" w:name="_Toc15396611"/>
      <w:r>
        <w:rPr>
          <w:rStyle w:val="31"/>
          <w:rFonts w:hint="eastAsia" w:ascii="Times New Roman" w:hAnsi="Times New Roman" w:eastAsia="黑体"/>
          <w:b w:val="0"/>
        </w:rPr>
        <w:t>九、国有资本经营预算支出决算情况说明</w:t>
      </w:r>
      <w:bookmarkEnd w:id="75"/>
      <w:bookmarkEnd w:id="76"/>
      <w:bookmarkEnd w:id="77"/>
    </w:p>
    <w:p w14:paraId="132E96BA">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%。与上年度相比，国有资本经营预算财政拨款支出增加/减少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10BC65D8">
      <w:pPr>
        <w:spacing w:line="600" w:lineRule="exact"/>
        <w:ind w:left="630"/>
        <w:outlineLvl w:val="1"/>
        <w:rPr>
          <w:rStyle w:val="31"/>
          <w:rFonts w:ascii="Times New Roman" w:hAnsi="Times New Roman" w:eastAsia="黑体"/>
          <w:b w:val="0"/>
        </w:rPr>
      </w:pPr>
      <w:bookmarkStart w:id="78" w:name="_Toc29841"/>
      <w:bookmarkStart w:id="79" w:name="_Toc15377221"/>
      <w:bookmarkStart w:id="80" w:name="_Toc15396612"/>
      <w:r>
        <w:rPr>
          <w:rStyle w:val="31"/>
          <w:rFonts w:hint="eastAsia" w:ascii="Times New Roman" w:hAnsi="Times New Roman" w:eastAsia="黑体"/>
          <w:b w:val="0"/>
        </w:rPr>
        <w:t>十、其他重要事项的情况说明</w:t>
      </w:r>
      <w:bookmarkEnd w:id="78"/>
      <w:bookmarkEnd w:id="79"/>
      <w:bookmarkEnd w:id="80"/>
    </w:p>
    <w:p w14:paraId="7C56B83E">
      <w:pPr>
        <w:spacing w:line="600" w:lineRule="exact"/>
        <w:ind w:firstLine="643" w:firstLineChars="200"/>
        <w:outlineLvl w:val="2"/>
        <w:rPr>
          <w:rFonts w:eastAsia="楷体_GB2312" w:cs="楷体_GB2312"/>
          <w:b/>
          <w:sz w:val="32"/>
          <w:szCs w:val="32"/>
        </w:rPr>
      </w:pPr>
      <w:bookmarkStart w:id="81" w:name="_Toc15377222"/>
      <w:bookmarkStart w:id="82" w:name="_Toc32450"/>
      <w:bookmarkStart w:id="83" w:name="_Toc11817"/>
      <w:r>
        <w:rPr>
          <w:rFonts w:hint="eastAsia" w:eastAsia="楷体_GB2312" w:cs="楷体_GB2312"/>
          <w:b/>
          <w:sz w:val="32"/>
          <w:szCs w:val="32"/>
        </w:rPr>
        <w:t>（一）机关运行经费支出情况</w:t>
      </w:r>
      <w:bookmarkEnd w:id="81"/>
      <w:bookmarkEnd w:id="82"/>
      <w:bookmarkEnd w:id="83"/>
    </w:p>
    <w:p w14:paraId="4A131C89">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%（或与上年度决算数持平）。</w:t>
      </w:r>
    </w:p>
    <w:p w14:paraId="4D086AE3">
      <w:pPr>
        <w:spacing w:line="600" w:lineRule="exact"/>
        <w:ind w:firstLine="643" w:firstLineChars="200"/>
        <w:outlineLvl w:val="2"/>
        <w:rPr>
          <w:rFonts w:eastAsia="楷体_GB2312" w:cs="楷体_GB2312"/>
          <w:b/>
          <w:sz w:val="32"/>
          <w:szCs w:val="32"/>
        </w:rPr>
      </w:pPr>
      <w:bookmarkStart w:id="84" w:name="_Toc10405"/>
      <w:bookmarkStart w:id="85" w:name="_Toc13111"/>
      <w:bookmarkStart w:id="86" w:name="_Toc15377223"/>
      <w:r>
        <w:rPr>
          <w:rFonts w:hint="eastAsia" w:eastAsia="楷体_GB2312" w:cs="楷体_GB2312"/>
          <w:b/>
          <w:sz w:val="32"/>
          <w:szCs w:val="32"/>
        </w:rPr>
        <w:t>（二）政府采购支出情况</w:t>
      </w:r>
      <w:bookmarkEnd w:id="84"/>
      <w:bookmarkEnd w:id="85"/>
      <w:bookmarkEnd w:id="86"/>
    </w:p>
    <w:p w14:paraId="6B3F0FDF">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政府采购支出总额</w:t>
      </w:r>
      <w:r>
        <w:rPr>
          <w:rFonts w:hint="eastAsia" w:eastAsia="仿宋_GB2312" w:cs="仿宋_GB2312"/>
          <w:sz w:val="32"/>
          <w:szCs w:val="32"/>
          <w:lang w:val="en-US" w:eastAsia="zh-CN"/>
        </w:rPr>
        <w:t>6425.03</w:t>
      </w:r>
      <w:r>
        <w:rPr>
          <w:rFonts w:hint="eastAsia" w:eastAsia="仿宋_GB2312" w:cs="仿宋_GB2312"/>
          <w:sz w:val="32"/>
          <w:szCs w:val="32"/>
        </w:rPr>
        <w:t>万元，其中：政府采购货物支出</w:t>
      </w:r>
      <w:r>
        <w:rPr>
          <w:rFonts w:hint="eastAsia" w:eastAsia="仿宋_GB2312" w:cs="仿宋_GB2312"/>
          <w:sz w:val="32"/>
          <w:szCs w:val="32"/>
          <w:lang w:val="en-US" w:eastAsia="zh-CN"/>
        </w:rPr>
        <w:t>5949.47</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475.56</w:t>
      </w:r>
      <w:r>
        <w:rPr>
          <w:rFonts w:hint="eastAsia" w:eastAsia="仿宋_GB2312" w:cs="仿宋_GB2312"/>
          <w:sz w:val="32"/>
          <w:szCs w:val="32"/>
        </w:rPr>
        <w:t>万元。主要用于</w:t>
      </w:r>
      <w:r>
        <w:rPr>
          <w:rFonts w:hint="eastAsia" w:ascii="仿宋_GB2312" w:eastAsia="仿宋_GB2312"/>
          <w:color w:val="auto"/>
          <w:sz w:val="32"/>
          <w:szCs w:val="32"/>
          <w:highlight w:val="none"/>
          <w:lang w:eastAsia="zh-CN"/>
        </w:rPr>
        <w:t>医疗活动所需的业务用房建设、设备</w:t>
      </w:r>
      <w:r>
        <w:rPr>
          <w:rFonts w:hint="eastAsia" w:ascii="仿宋_GB2312" w:eastAsia="仿宋_GB2312"/>
          <w:color w:val="auto"/>
          <w:sz w:val="32"/>
          <w:szCs w:val="32"/>
          <w:highlight w:val="none"/>
          <w:lang w:val="en-US" w:eastAsia="zh-CN"/>
        </w:rPr>
        <w:t>、物资采购、信息化建设服务及医疗责任险的购买</w:t>
      </w:r>
      <w:r>
        <w:rPr>
          <w:rFonts w:hint="eastAsia" w:eastAsia="仿宋_GB2312" w:cs="仿宋_GB2312"/>
          <w:sz w:val="32"/>
          <w:szCs w:val="32"/>
        </w:rPr>
        <w:t>。授予中小企业合同金额</w:t>
      </w:r>
      <w:r>
        <w:rPr>
          <w:rFonts w:hint="eastAsia" w:eastAsia="仿宋_GB2312" w:cs="仿宋_GB2312"/>
          <w:sz w:val="32"/>
          <w:szCs w:val="32"/>
          <w:lang w:val="en-US" w:eastAsia="zh-CN"/>
        </w:rPr>
        <w:t>3695.23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57.5</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其中</w:t>
      </w:r>
      <w:r>
        <w:rPr>
          <w:rFonts w:hint="eastAsia" w:eastAsia="仿宋_GB2312" w:cs="仿宋_GB2312"/>
          <w:sz w:val="32"/>
          <w:szCs w:val="32"/>
          <w:lang w:eastAsia="zh-CN"/>
        </w:rPr>
        <w:t>，</w:t>
      </w:r>
      <w:r>
        <w:rPr>
          <w:rFonts w:hint="eastAsia" w:eastAsia="仿宋_GB2312" w:cs="仿宋_GB2312"/>
          <w:sz w:val="32"/>
          <w:szCs w:val="32"/>
        </w:rPr>
        <w:t>授予小微企业合同金额</w:t>
      </w:r>
      <w:r>
        <w:rPr>
          <w:rFonts w:hint="eastAsia" w:eastAsia="仿宋_GB2312" w:cs="仿宋_GB2312"/>
          <w:sz w:val="32"/>
          <w:szCs w:val="32"/>
          <w:lang w:val="en-US" w:eastAsia="zh-CN"/>
        </w:rPr>
        <w:t>945.23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14.7</w:t>
      </w:r>
      <w:r>
        <w:rPr>
          <w:rFonts w:hint="eastAsia" w:eastAsia="仿宋_GB2312" w:cs="仿宋_GB2312"/>
          <w:sz w:val="32"/>
          <w:szCs w:val="32"/>
        </w:rPr>
        <w:t>%。</w:t>
      </w:r>
    </w:p>
    <w:p w14:paraId="77F2F4AA">
      <w:pPr>
        <w:spacing w:line="600" w:lineRule="exact"/>
        <w:ind w:firstLine="643" w:firstLineChars="200"/>
        <w:outlineLvl w:val="2"/>
        <w:rPr>
          <w:rFonts w:eastAsia="楷体_GB2312" w:cs="楷体_GB2312"/>
          <w:b/>
          <w:sz w:val="32"/>
          <w:szCs w:val="32"/>
        </w:rPr>
      </w:pPr>
      <w:bookmarkStart w:id="87" w:name="_Toc12206"/>
      <w:bookmarkStart w:id="88" w:name="_Toc23653"/>
      <w:bookmarkStart w:id="89" w:name="_Toc15377224"/>
      <w:r>
        <w:rPr>
          <w:rFonts w:hint="eastAsia" w:eastAsia="楷体_GB2312" w:cs="楷体_GB2312"/>
          <w:b/>
          <w:sz w:val="32"/>
          <w:szCs w:val="32"/>
        </w:rPr>
        <w:t>（三）国有资产占有使用情况</w:t>
      </w:r>
      <w:bookmarkEnd w:id="87"/>
      <w:bookmarkEnd w:id="88"/>
      <w:bookmarkEnd w:id="89"/>
    </w:p>
    <w:p w14:paraId="266E884D">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共有车辆</w:t>
      </w:r>
      <w:r>
        <w:rPr>
          <w:rFonts w:hint="eastAsia" w:eastAsia="仿宋_GB2312" w:cs="仿宋_GB2312"/>
          <w:sz w:val="32"/>
          <w:szCs w:val="32"/>
          <w:lang w:val="en-US" w:eastAsia="zh-CN"/>
        </w:rPr>
        <w:t>9</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7</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2</w:t>
      </w:r>
      <w:r>
        <w:rPr>
          <w:rFonts w:hint="eastAsia" w:eastAsia="仿宋_GB2312" w:cs="仿宋_GB2312"/>
          <w:sz w:val="32"/>
          <w:szCs w:val="32"/>
        </w:rPr>
        <w:t>辆，其他用车</w:t>
      </w:r>
      <w:r>
        <w:rPr>
          <w:rFonts w:hint="eastAsia" w:eastAsia="仿宋_GB2312" w:cs="仿宋_GB2312"/>
          <w:sz w:val="32"/>
          <w:szCs w:val="32"/>
          <w:lang w:eastAsia="zh-CN"/>
        </w:rPr>
        <w:t>主要</w:t>
      </w:r>
      <w:r>
        <w:rPr>
          <w:rFonts w:hint="eastAsia" w:eastAsia="仿宋_GB2312" w:cs="仿宋_GB2312"/>
          <w:sz w:val="32"/>
          <w:szCs w:val="32"/>
        </w:rPr>
        <w:t>用于</w:t>
      </w:r>
      <w:r>
        <w:rPr>
          <w:rFonts w:hint="eastAsia" w:ascii="仿宋_GB2312" w:hAnsi="仿宋_GB2312" w:eastAsia="仿宋_GB2312" w:cs="仿宋_GB2312"/>
          <w:sz w:val="32"/>
          <w:szCs w:val="32"/>
          <w:lang w:eastAsia="zh-CN"/>
        </w:rPr>
        <w:t>业务拓展及外出体检任务</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91</w:t>
      </w:r>
      <w:r>
        <w:rPr>
          <w:rFonts w:hint="eastAsia" w:eastAsia="仿宋_GB2312" w:cs="仿宋_GB2312"/>
          <w:sz w:val="32"/>
          <w:szCs w:val="32"/>
        </w:rPr>
        <w:t>台（套）。</w:t>
      </w:r>
    </w:p>
    <w:p w14:paraId="6F2DAD96">
      <w:pPr>
        <w:spacing w:line="600" w:lineRule="exact"/>
        <w:ind w:firstLine="643" w:firstLineChars="200"/>
        <w:outlineLvl w:val="2"/>
        <w:rPr>
          <w:rFonts w:eastAsia="楷体_GB2312" w:cs="楷体_GB2312"/>
          <w:b/>
          <w:sz w:val="32"/>
          <w:szCs w:val="32"/>
        </w:rPr>
      </w:pPr>
      <w:bookmarkStart w:id="90" w:name="_Toc29681"/>
      <w:bookmarkStart w:id="91" w:name="_Toc16123"/>
      <w:r>
        <w:rPr>
          <w:rFonts w:hint="eastAsia" w:eastAsia="楷体_GB2312" w:cs="楷体_GB2312"/>
          <w:b/>
          <w:sz w:val="32"/>
          <w:szCs w:val="32"/>
        </w:rPr>
        <w:t>（四）预算绩效管理情况</w:t>
      </w:r>
      <w:bookmarkEnd w:id="90"/>
      <w:bookmarkEnd w:id="91"/>
    </w:p>
    <w:p w14:paraId="429AFD8D">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在2025年度，组织对</w:t>
      </w:r>
      <w:r>
        <w:rPr>
          <w:rFonts w:hint="eastAsia" w:ascii="Times New Roman" w:hAnsi="Times New Roman" w:eastAsia="仿宋_GB2312" w:cs="仿宋_GB2312"/>
          <w:color w:val="auto"/>
          <w:kern w:val="2"/>
          <w:sz w:val="32"/>
          <w:szCs w:val="32"/>
          <w:highlight w:val="none"/>
          <w:lang w:val="en-US" w:eastAsia="zh-CN" w:bidi="ar-SA"/>
        </w:rPr>
        <w:t>医疗服务与保障能力提升（中医药事业传承与发展部分）</w:t>
      </w:r>
      <w:r>
        <w:rPr>
          <w:rFonts w:hint="eastAsia" w:eastAsia="仿宋_GB2312" w:cs="仿宋_GB2312"/>
          <w:color w:val="auto"/>
          <w:kern w:val="2"/>
          <w:sz w:val="32"/>
          <w:szCs w:val="32"/>
          <w:highlight w:val="none"/>
          <w:lang w:val="en-US" w:eastAsia="zh-CN" w:bidi="ar-SA"/>
        </w:rPr>
        <w:t>、人才专项经费、医疗服务与保障能力提升（公立医院综合改革）、医疗服务与保障能力提升（卫生健康人才培养）、中医药发展专项（中医药人才培养平台建设、中医药文化传承保护和传播）</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sz w:val="32"/>
          <w:szCs w:val="32"/>
          <w:lang w:val="en-US" w:eastAsia="zh-CN"/>
        </w:rPr>
        <w:t>15</w:t>
      </w:r>
      <w:r>
        <w:rPr>
          <w:rFonts w:hint="eastAsia" w:eastAsia="仿宋_GB2312" w:cs="仿宋_GB2312"/>
          <w:sz w:val="32"/>
          <w:szCs w:val="32"/>
        </w:rPr>
        <w:t>个项目涉及金额</w:t>
      </w:r>
      <w:r>
        <w:rPr>
          <w:rFonts w:hint="eastAsia" w:eastAsia="仿宋_GB2312" w:cs="仿宋_GB2312"/>
          <w:sz w:val="32"/>
          <w:szCs w:val="32"/>
          <w:lang w:val="en-US" w:eastAsia="zh-CN"/>
        </w:rPr>
        <w:t>1493.41</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15</w:t>
      </w:r>
      <w:r>
        <w:rPr>
          <w:rFonts w:hint="eastAsia" w:eastAsia="仿宋_GB2312" w:cs="仿宋_GB2312"/>
          <w:sz w:val="32"/>
          <w:szCs w:val="32"/>
        </w:rPr>
        <w:t>个项目编制了绩效目标</w:t>
      </w:r>
      <w:r>
        <w:rPr>
          <w:rFonts w:hint="eastAsia" w:eastAsia="仿宋_GB2312" w:cs="仿宋_GB2312"/>
          <w:sz w:val="32"/>
          <w:szCs w:val="32"/>
          <w:lang w:eastAsia="zh-CN"/>
        </w:rPr>
        <w:t>，在</w:t>
      </w:r>
      <w:r>
        <w:rPr>
          <w:rFonts w:hint="eastAsia" w:eastAsia="仿宋_GB2312" w:cs="仿宋_GB2312"/>
          <w:sz w:val="32"/>
          <w:szCs w:val="32"/>
        </w:rPr>
        <w:t>预算执行过程中，选取</w:t>
      </w:r>
      <w:r>
        <w:rPr>
          <w:rFonts w:hint="eastAsia" w:eastAsia="仿宋_GB2312" w:cs="仿宋_GB2312"/>
          <w:sz w:val="32"/>
          <w:szCs w:val="32"/>
          <w:lang w:val="en-US" w:eastAsia="zh-CN"/>
        </w:rPr>
        <w:t>15</w:t>
      </w:r>
      <w:r>
        <w:rPr>
          <w:rFonts w:hint="eastAsia" w:eastAsia="仿宋_GB2312" w:cs="仿宋_GB2312"/>
          <w:sz w:val="32"/>
          <w:szCs w:val="32"/>
        </w:rPr>
        <w:t>个项目开展绩效监控。</w:t>
      </w:r>
    </w:p>
    <w:p w14:paraId="3E916D2F">
      <w:pPr>
        <w:widowControl/>
        <w:adjustRightInd w:val="0"/>
        <w:snapToGrid w:val="0"/>
        <w:spacing w:line="578" w:lineRule="exact"/>
        <w:ind w:firstLine="640" w:firstLineChars="200"/>
        <w:contextualSpacing/>
        <w:jc w:val="left"/>
        <w:rPr>
          <w:rFonts w:eastAsia="仿宋_GB2312" w:cs="仿宋_GB2312"/>
          <w:sz w:val="32"/>
          <w:szCs w:val="32"/>
        </w:rPr>
      </w:pPr>
      <w:r>
        <w:rPr>
          <w:rFonts w:hint="eastAsia" w:eastAsia="仿宋_GB2312" w:cs="仿宋_GB2312"/>
          <w:sz w:val="32"/>
          <w:szCs w:val="32"/>
        </w:rPr>
        <w:t>组织对2025年度一般公共预算全面开展绩效自评，形成</w:t>
      </w:r>
      <w:r>
        <w:rPr>
          <w:rFonts w:hint="eastAsia" w:eastAsia="仿宋_GB2312" w:cs="仿宋_GB2312"/>
          <w:color w:val="auto"/>
          <w:kern w:val="2"/>
          <w:sz w:val="32"/>
          <w:szCs w:val="32"/>
          <w:highlight w:val="none"/>
          <w:lang w:val="en-US" w:eastAsia="zh-CN" w:bidi="ar-SA"/>
        </w:rPr>
        <w:t>四川省攀枝花市中西医结合医院</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，以及医疗</w:t>
      </w:r>
      <w:r>
        <w:rPr>
          <w:rFonts w:hint="eastAsia" w:ascii="Times New Roman" w:hAnsi="Times New Roman" w:eastAsia="仿宋_GB2312" w:cs="仿宋_GB2312"/>
          <w:color w:val="auto"/>
          <w:kern w:val="2"/>
          <w:sz w:val="32"/>
          <w:szCs w:val="32"/>
          <w:highlight w:val="none"/>
          <w:lang w:val="en-US" w:eastAsia="zh-CN" w:bidi="ar-SA"/>
        </w:rPr>
        <w:t>服务与保障能力提升（中医药事业传承与发展部分）</w:t>
      </w:r>
      <w:r>
        <w:rPr>
          <w:rFonts w:hint="eastAsia" w:eastAsia="仿宋_GB2312" w:cs="仿宋_GB2312"/>
          <w:color w:val="auto"/>
          <w:kern w:val="2"/>
          <w:sz w:val="32"/>
          <w:szCs w:val="32"/>
          <w:highlight w:val="none"/>
          <w:lang w:val="en-US" w:eastAsia="zh-CN" w:bidi="ar-SA"/>
        </w:rPr>
        <w:t>、医疗服务与保障能力提升（卫生健康人才培养）、医疗服务与保障能力提升（公立医院综合改革）、人才专项经费、住院医师规范化培训项目中央预算项目</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四川省攀枝花市中西医结合医院</w:t>
      </w:r>
      <w:r>
        <w:rPr>
          <w:rFonts w:hint="eastAsia" w:eastAsia="仿宋_GB2312" w:cs="仿宋_GB2312"/>
          <w:sz w:val="32"/>
          <w:szCs w:val="32"/>
        </w:rPr>
        <w:t>部门预算（含部门预算项目）绩效自评得分为</w:t>
      </w:r>
      <w:r>
        <w:rPr>
          <w:rFonts w:hint="eastAsia" w:eastAsia="仿宋_GB2312" w:cs="仿宋_GB2312"/>
          <w:sz w:val="32"/>
          <w:szCs w:val="32"/>
          <w:lang w:val="en-US" w:eastAsia="zh-CN"/>
        </w:rPr>
        <w:t>97</w:t>
      </w:r>
      <w:r>
        <w:rPr>
          <w:rFonts w:hint="eastAsia" w:eastAsia="仿宋_GB2312" w:cs="仿宋_GB2312"/>
          <w:sz w:val="32"/>
          <w:szCs w:val="32"/>
        </w:rPr>
        <w:t>分，绩效自评综述</w:t>
      </w:r>
      <w:r>
        <w:rPr>
          <w:rFonts w:hint="eastAsia" w:eastAsia="仿宋_GB2312" w:cs="仿宋_GB2312"/>
          <w:sz w:val="32"/>
          <w:szCs w:val="32"/>
          <w:lang w:val="zh-CN"/>
        </w:rPr>
        <w:t>部门预算资金执行进度，各项绩效指标均达到了预期目标，达到了年度预算的整体目标</w:t>
      </w:r>
      <w:r>
        <w:rPr>
          <w:rFonts w:hint="eastAsia" w:eastAsia="仿宋_GB2312" w:cs="仿宋_GB2312"/>
          <w:sz w:val="32"/>
          <w:szCs w:val="32"/>
        </w:rPr>
        <w:t>；</w:t>
      </w:r>
      <w:r>
        <w:rPr>
          <w:rFonts w:hint="eastAsia" w:eastAsia="仿宋_GB2312" w:cs="仿宋_GB2312"/>
          <w:color w:val="auto"/>
          <w:kern w:val="2"/>
          <w:sz w:val="32"/>
          <w:szCs w:val="32"/>
          <w:highlight w:val="none"/>
          <w:lang w:val="en-US" w:eastAsia="zh-CN" w:bidi="ar-SA"/>
        </w:rPr>
        <w:t>四川省攀枝花市中西医结合医院</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97</w:t>
      </w:r>
      <w:r>
        <w:rPr>
          <w:rFonts w:hint="eastAsia" w:eastAsia="仿宋_GB2312" w:cs="仿宋_GB2312"/>
          <w:sz w:val="32"/>
          <w:szCs w:val="32"/>
        </w:rPr>
        <w:t>分，绩效自评综述</w:t>
      </w:r>
      <w:r>
        <w:rPr>
          <w:rFonts w:hint="eastAsia" w:eastAsia="仿宋_GB2312" w:cs="仿宋_GB2312"/>
          <w:sz w:val="32"/>
          <w:szCs w:val="32"/>
          <w:lang w:eastAsia="zh-CN"/>
        </w:rPr>
        <w:t>项目目标达成程度高，资金使用规范、效益显著，专款专用</w:t>
      </w:r>
      <w:r>
        <w:rPr>
          <w:rFonts w:hint="eastAsia" w:eastAsia="仿宋_GB2312" w:cs="仿宋_GB2312"/>
          <w:sz w:val="32"/>
          <w:szCs w:val="32"/>
        </w:rPr>
        <w:t>。绩效自评报告详见附件。</w:t>
      </w:r>
    </w:p>
    <w:p w14:paraId="37C4C843">
      <w:pPr>
        <w:spacing w:line="600" w:lineRule="exact"/>
        <w:jc w:val="center"/>
        <w:outlineLvl w:val="0"/>
        <w:rPr>
          <w:rFonts w:hint="eastAsia" w:eastAsia="黑体"/>
          <w:sz w:val="44"/>
          <w:szCs w:val="44"/>
        </w:rPr>
      </w:pPr>
      <w:bookmarkStart w:id="92" w:name="_Toc15396613"/>
      <w:bookmarkStart w:id="93" w:name="_Toc15377225"/>
    </w:p>
    <w:p w14:paraId="6D2BBA08">
      <w:pPr>
        <w:spacing w:line="600" w:lineRule="exact"/>
        <w:jc w:val="center"/>
        <w:outlineLvl w:val="0"/>
        <w:rPr>
          <w:rFonts w:hint="eastAsia" w:eastAsia="黑体"/>
          <w:sz w:val="44"/>
          <w:szCs w:val="44"/>
        </w:rPr>
      </w:pPr>
    </w:p>
    <w:p w14:paraId="7DF620E8">
      <w:pPr>
        <w:spacing w:line="600" w:lineRule="exact"/>
        <w:jc w:val="center"/>
        <w:outlineLvl w:val="0"/>
        <w:rPr>
          <w:rFonts w:hint="eastAsia" w:eastAsia="黑体"/>
          <w:sz w:val="44"/>
          <w:szCs w:val="44"/>
        </w:rPr>
      </w:pPr>
    </w:p>
    <w:p w14:paraId="56D8E146">
      <w:pPr>
        <w:spacing w:line="600" w:lineRule="exact"/>
        <w:jc w:val="center"/>
        <w:outlineLvl w:val="0"/>
        <w:rPr>
          <w:rFonts w:hint="eastAsia" w:eastAsia="黑体"/>
          <w:sz w:val="44"/>
          <w:szCs w:val="44"/>
        </w:rPr>
      </w:pPr>
    </w:p>
    <w:p w14:paraId="0A0C2B49">
      <w:pPr>
        <w:spacing w:line="600" w:lineRule="exact"/>
        <w:jc w:val="center"/>
        <w:outlineLvl w:val="0"/>
        <w:rPr>
          <w:rFonts w:hint="eastAsia" w:eastAsia="黑体"/>
          <w:sz w:val="44"/>
          <w:szCs w:val="44"/>
        </w:rPr>
      </w:pPr>
    </w:p>
    <w:p w14:paraId="75B89BA2">
      <w:pPr>
        <w:spacing w:line="600" w:lineRule="exact"/>
        <w:jc w:val="center"/>
        <w:outlineLvl w:val="0"/>
        <w:rPr>
          <w:rFonts w:hint="eastAsia" w:eastAsia="黑体"/>
          <w:sz w:val="44"/>
          <w:szCs w:val="44"/>
        </w:rPr>
      </w:pPr>
    </w:p>
    <w:p w14:paraId="203B34F9">
      <w:pPr>
        <w:spacing w:line="600" w:lineRule="exact"/>
        <w:jc w:val="center"/>
        <w:outlineLvl w:val="0"/>
        <w:rPr>
          <w:rFonts w:hint="eastAsia" w:eastAsia="黑体"/>
          <w:sz w:val="44"/>
          <w:szCs w:val="44"/>
        </w:rPr>
      </w:pPr>
    </w:p>
    <w:p w14:paraId="1A342273">
      <w:pPr>
        <w:spacing w:line="600" w:lineRule="exact"/>
        <w:jc w:val="center"/>
        <w:outlineLvl w:val="0"/>
        <w:rPr>
          <w:rFonts w:hint="eastAsia" w:eastAsia="黑体"/>
          <w:sz w:val="44"/>
          <w:szCs w:val="44"/>
        </w:rPr>
      </w:pPr>
    </w:p>
    <w:p w14:paraId="17D7FF8A">
      <w:pPr>
        <w:spacing w:line="600" w:lineRule="exact"/>
        <w:jc w:val="center"/>
        <w:outlineLvl w:val="0"/>
        <w:rPr>
          <w:rFonts w:hint="eastAsia" w:eastAsia="黑体"/>
          <w:sz w:val="44"/>
          <w:szCs w:val="44"/>
        </w:rPr>
      </w:pPr>
    </w:p>
    <w:p w14:paraId="18B3E506">
      <w:pPr>
        <w:spacing w:line="600" w:lineRule="exact"/>
        <w:jc w:val="center"/>
        <w:outlineLvl w:val="0"/>
        <w:rPr>
          <w:rFonts w:hint="eastAsia" w:eastAsia="黑体"/>
          <w:sz w:val="44"/>
          <w:szCs w:val="44"/>
        </w:rPr>
      </w:pPr>
    </w:p>
    <w:p w14:paraId="23479472">
      <w:pPr>
        <w:spacing w:line="600" w:lineRule="exact"/>
        <w:jc w:val="center"/>
        <w:outlineLvl w:val="0"/>
        <w:rPr>
          <w:rFonts w:eastAsia="黑体"/>
          <w:sz w:val="44"/>
          <w:szCs w:val="44"/>
        </w:rPr>
      </w:pPr>
      <w:bookmarkStart w:id="94" w:name="_Toc9378"/>
      <w:r>
        <w:rPr>
          <w:rFonts w:hint="eastAsia" w:eastAsia="黑体"/>
          <w:sz w:val="44"/>
          <w:szCs w:val="44"/>
        </w:rPr>
        <w:t>第三部分  名词解释</w:t>
      </w:r>
      <w:bookmarkEnd w:id="92"/>
      <w:bookmarkEnd w:id="93"/>
      <w:bookmarkEnd w:id="94"/>
    </w:p>
    <w:p w14:paraId="1998EF54">
      <w:pPr>
        <w:spacing w:line="600" w:lineRule="exact"/>
        <w:jc w:val="left"/>
        <w:rPr>
          <w:b/>
          <w:sz w:val="44"/>
          <w:szCs w:val="44"/>
        </w:rPr>
      </w:pPr>
    </w:p>
    <w:p w14:paraId="46CE13B5">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33DD9E1">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07DB59BF">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65533D21">
      <w:pPr>
        <w:spacing w:line="600" w:lineRule="exact"/>
        <w:ind w:firstLine="640"/>
        <w:rPr>
          <w:rFonts w:eastAsia="仿宋_GB2312" w:cs="仿宋_GB2312"/>
          <w:sz w:val="32"/>
          <w:szCs w:val="32"/>
        </w:rPr>
      </w:pPr>
      <w:r>
        <w:rPr>
          <w:rFonts w:hint="eastAsia" w:eastAsia="仿宋_GB2312" w:cs="仿宋_GB2312"/>
          <w:sz w:val="32"/>
          <w:szCs w:val="32"/>
        </w:rPr>
        <w:t>4.其他收入：</w:t>
      </w:r>
      <w:r>
        <w:rPr>
          <w:rFonts w:hint="eastAsia" w:ascii="Times New Roman" w:hAnsi="Times New Roman" w:eastAsia="仿宋_GB2312" w:cs="仿宋_GB2312"/>
          <w:color w:val="auto"/>
          <w:kern w:val="2"/>
          <w:sz w:val="32"/>
          <w:szCs w:val="32"/>
          <w:highlight w:val="none"/>
          <w:lang w:val="en-US" w:eastAsia="zh-CN" w:bidi="ar-SA"/>
        </w:rPr>
        <w:t>指单位取得的除上述收入以外的各项收入。</w:t>
      </w:r>
      <w:r>
        <w:rPr>
          <w:rFonts w:hint="eastAsia" w:ascii="仿宋_GB2312" w:eastAsia="仿宋_GB2312"/>
          <w:color w:val="auto"/>
          <w:sz w:val="32"/>
          <w:szCs w:val="32"/>
          <w:highlight w:val="none"/>
        </w:rPr>
        <w:t>主要是</w:t>
      </w:r>
      <w:r>
        <w:rPr>
          <w:rFonts w:hint="eastAsia" w:ascii="仿宋_GB2312" w:eastAsia="仿宋_GB2312"/>
          <w:sz w:val="32"/>
          <w:szCs w:val="32"/>
        </w:rPr>
        <w:t>房租收入、培训收入、利息收入</w:t>
      </w:r>
      <w:r>
        <w:rPr>
          <w:rFonts w:hint="eastAsia" w:ascii="仿宋_GB2312" w:eastAsia="仿宋_GB2312"/>
          <w:color w:val="auto"/>
          <w:sz w:val="32"/>
          <w:szCs w:val="32"/>
        </w:rPr>
        <w:t>等</w:t>
      </w:r>
      <w:r>
        <w:rPr>
          <w:rFonts w:hint="eastAsia" w:ascii="仿宋_GB2312" w:eastAsia="仿宋_GB2312"/>
          <w:color w:val="auto"/>
          <w:sz w:val="32"/>
          <w:szCs w:val="32"/>
          <w:lang w:eastAsia="zh-CN"/>
        </w:rPr>
        <w:t>。</w:t>
      </w:r>
      <w:r>
        <w:rPr>
          <w:rFonts w:hint="eastAsia" w:eastAsia="仿宋_GB2312" w:cs="仿宋_GB2312"/>
          <w:sz w:val="32"/>
          <w:szCs w:val="32"/>
        </w:rPr>
        <w:t xml:space="preserve"> </w:t>
      </w:r>
    </w:p>
    <w:p w14:paraId="73DBA1DB">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2F4CCD94">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7339D89E">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345FEA4C">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3C2A191B">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科学技术支出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其他科学技术支出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其他科学技术支出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科研专项资金</w:t>
      </w:r>
      <w:r>
        <w:rPr>
          <w:rFonts w:hint="eastAsia" w:ascii="仿宋_GB2312" w:eastAsia="仿宋_GB2312"/>
          <w:color w:val="auto"/>
          <w:sz w:val="32"/>
          <w:szCs w:val="32"/>
          <w:highlight w:val="none"/>
        </w:rPr>
        <w:t>。</w:t>
      </w:r>
    </w:p>
    <w:p w14:paraId="18715DED">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事业单位离退休</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离退休人员的生活补助</w:t>
      </w:r>
      <w:r>
        <w:rPr>
          <w:rFonts w:hint="eastAsia" w:ascii="仿宋_GB2312" w:eastAsia="仿宋_GB2312"/>
          <w:color w:val="auto"/>
          <w:sz w:val="32"/>
          <w:szCs w:val="32"/>
          <w:highlight w:val="none"/>
          <w:lang w:val="en-US" w:eastAsia="zh-CN"/>
        </w:rPr>
        <w:t>、离退休费、退休医疗补助、离退休党建经费</w:t>
      </w:r>
      <w:r>
        <w:rPr>
          <w:rFonts w:hint="eastAsia" w:ascii="仿宋_GB2312" w:eastAsia="仿宋_GB2312"/>
          <w:color w:val="auto"/>
          <w:sz w:val="32"/>
          <w:szCs w:val="32"/>
          <w:highlight w:val="none"/>
        </w:rPr>
        <w:t>。</w:t>
      </w:r>
    </w:p>
    <w:p w14:paraId="2E554E84">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机关事业单位基本养老保险缴费支出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事业单位养老保险缴费</w:t>
      </w:r>
      <w:r>
        <w:rPr>
          <w:rFonts w:hint="eastAsia" w:ascii="仿宋_GB2312" w:eastAsia="仿宋_GB2312"/>
          <w:color w:val="auto"/>
          <w:sz w:val="32"/>
          <w:szCs w:val="32"/>
          <w:highlight w:val="none"/>
        </w:rPr>
        <w:t>。</w:t>
      </w:r>
    </w:p>
    <w:p w14:paraId="670701D5">
      <w:pPr>
        <w:pStyle w:val="15"/>
        <w:rPr>
          <w:rFonts w:hint="eastAsia"/>
        </w:rPr>
      </w:pPr>
    </w:p>
    <w:p w14:paraId="4789451A">
      <w:pPr>
        <w:ind w:firstLine="640" w:firstLineChars="200"/>
        <w:rPr>
          <w:rFonts w:hint="eastAsia" w:ascii="仿宋_GB2312" w:hAnsi="Calibri" w:eastAsia="仿宋_GB2312" w:cs="仿宋"/>
          <w:kern w:val="0"/>
          <w:sz w:val="32"/>
          <w:szCs w:val="32"/>
        </w:rPr>
      </w:pP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机关事业单位职业年金缴费支出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事业单位职业年金缴费</w:t>
      </w:r>
      <w:r>
        <w:rPr>
          <w:rFonts w:hint="eastAsia" w:ascii="仿宋_GB2312" w:eastAsia="仿宋_GB2312"/>
          <w:color w:val="auto"/>
          <w:sz w:val="32"/>
          <w:szCs w:val="32"/>
          <w:highlight w:val="none"/>
        </w:rPr>
        <w:t>。</w:t>
      </w:r>
    </w:p>
    <w:p w14:paraId="61BF58FE">
      <w:pPr>
        <w:pStyle w:val="15"/>
        <w:rPr>
          <w:rFonts w:hint="eastAsia"/>
        </w:rPr>
      </w:pPr>
    </w:p>
    <w:p w14:paraId="1D07331C">
      <w:pPr>
        <w:numPr>
          <w:ilvl w:val="0"/>
          <w:numId w:val="0"/>
        </w:numPr>
        <w:ind w:firstLine="640" w:firstLineChars="200"/>
        <w:rPr>
          <w:rFonts w:hint="eastAsia"/>
        </w:rPr>
      </w:pPr>
      <w:r>
        <w:rPr>
          <w:rFonts w:hint="eastAsia" w:ascii="仿宋_GB2312" w:eastAsia="仿宋_GB2312"/>
          <w:color w:val="auto"/>
          <w:sz w:val="32"/>
          <w:szCs w:val="32"/>
          <w:highlight w:val="none"/>
          <w:lang w:val="en-US" w:eastAsia="zh-CN"/>
        </w:rPr>
        <w:t>13.</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抚恤</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死亡抚恤</w:t>
      </w:r>
      <w:r>
        <w:rPr>
          <w:rFonts w:hint="eastAsia" w:ascii="仿宋_GB2312" w:eastAsia="仿宋_GB2312"/>
          <w:color w:val="auto"/>
          <w:sz w:val="32"/>
          <w:szCs w:val="32"/>
          <w:highlight w:val="none"/>
        </w:rPr>
        <w:t>（项）：指</w:t>
      </w:r>
      <w:r>
        <w:rPr>
          <w:rFonts w:hint="eastAsia" w:ascii="仿宋_GB2312" w:hAnsi="Calibri" w:eastAsia="仿宋_GB2312" w:cs="仿宋"/>
          <w:kern w:val="0"/>
          <w:sz w:val="32"/>
          <w:szCs w:val="32"/>
        </w:rPr>
        <w:t>事业单位离退休人员死亡抚恤金。</w:t>
      </w:r>
    </w:p>
    <w:p w14:paraId="75747BB8">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中医（民族）医院</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遗属生活补助</w:t>
      </w:r>
      <w:r>
        <w:rPr>
          <w:rFonts w:hint="eastAsia" w:ascii="仿宋_GB2312" w:eastAsia="仿宋_GB2312"/>
          <w:color w:val="auto"/>
          <w:sz w:val="32"/>
          <w:szCs w:val="32"/>
          <w:highlight w:val="none"/>
        </w:rPr>
        <w:t>。</w:t>
      </w:r>
    </w:p>
    <w:p w14:paraId="2216AF7C">
      <w:pPr>
        <w:pStyle w:val="15"/>
        <w:rPr>
          <w:rFonts w:hint="eastAsia"/>
        </w:rPr>
      </w:pPr>
    </w:p>
    <w:p w14:paraId="187EBB37">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其他公立医院支出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医疗服务与保障能力提升（公立医院综合改革）</w:t>
      </w:r>
      <w:r>
        <w:rPr>
          <w:rFonts w:hint="eastAsia" w:ascii="仿宋_GB2312" w:eastAsia="仿宋_GB2312"/>
          <w:color w:val="auto"/>
          <w:sz w:val="32"/>
          <w:szCs w:val="32"/>
          <w:highlight w:val="none"/>
        </w:rPr>
        <w:t>。</w:t>
      </w:r>
    </w:p>
    <w:p w14:paraId="3617BE7D">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基本公共卫生服务</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基本公共卫生服务卫生应急处置运维经费</w:t>
      </w:r>
      <w:r>
        <w:rPr>
          <w:rFonts w:hint="eastAsia" w:ascii="仿宋_GB2312" w:eastAsia="仿宋_GB2312"/>
          <w:color w:val="auto"/>
          <w:sz w:val="32"/>
          <w:szCs w:val="32"/>
          <w:highlight w:val="none"/>
        </w:rPr>
        <w:t>。</w:t>
      </w:r>
    </w:p>
    <w:p w14:paraId="56106C69">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重大公共卫生服务</w:t>
      </w:r>
      <w:r>
        <w:rPr>
          <w:rFonts w:hint="eastAsia" w:ascii="仿宋_GB2312" w:eastAsia="仿宋_GB2312"/>
          <w:color w:val="auto"/>
          <w:sz w:val="32"/>
          <w:szCs w:val="32"/>
          <w:highlight w:val="none"/>
        </w:rPr>
        <w:t>（项）：指</w:t>
      </w:r>
      <w:r>
        <w:rPr>
          <w:rFonts w:hint="eastAsia" w:ascii="仿宋_GB2312" w:hAnsi="Calibri" w:eastAsia="仿宋_GB2312" w:cs="仿宋"/>
          <w:kern w:val="0"/>
          <w:sz w:val="32"/>
          <w:szCs w:val="32"/>
        </w:rPr>
        <w:t>重大传染病防控经费</w:t>
      </w:r>
      <w:r>
        <w:rPr>
          <w:rFonts w:hint="eastAsia" w:ascii="仿宋_GB2312" w:eastAsia="仿宋_GB2312"/>
          <w:color w:val="auto"/>
          <w:sz w:val="32"/>
          <w:szCs w:val="32"/>
          <w:highlight w:val="none"/>
        </w:rPr>
        <w:t>。</w:t>
      </w:r>
    </w:p>
    <w:p w14:paraId="137683BB">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其他公共卫生支出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干部医疗保健（重大活动保障）资金</w:t>
      </w:r>
      <w:r>
        <w:rPr>
          <w:rFonts w:hint="eastAsia" w:ascii="仿宋_GB2312" w:eastAsia="仿宋_GB2312"/>
          <w:color w:val="auto"/>
          <w:sz w:val="32"/>
          <w:szCs w:val="32"/>
          <w:highlight w:val="none"/>
        </w:rPr>
        <w:t>。</w:t>
      </w:r>
    </w:p>
    <w:p w14:paraId="11C36DDF">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行政事业单位医疗</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事业单位医疗</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事业单位医疗保险缴费</w:t>
      </w:r>
      <w:r>
        <w:rPr>
          <w:rFonts w:hint="eastAsia" w:ascii="仿宋_GB2312" w:eastAsia="仿宋_GB2312"/>
          <w:color w:val="auto"/>
          <w:sz w:val="32"/>
          <w:szCs w:val="32"/>
          <w:highlight w:val="none"/>
        </w:rPr>
        <w:t>。</w:t>
      </w:r>
    </w:p>
    <w:p w14:paraId="67C4BE4B">
      <w:pPr>
        <w:pStyle w:val="15"/>
        <w:rPr>
          <w:rFonts w:hint="eastAsia"/>
        </w:rPr>
      </w:pPr>
    </w:p>
    <w:p w14:paraId="578B89EC">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中医药事务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中医</w:t>
      </w:r>
      <w:r>
        <w:rPr>
          <w:rFonts w:hint="eastAsia" w:ascii="仿宋_GB2312" w:eastAsia="仿宋_GB2312"/>
          <w:color w:val="auto"/>
          <w:sz w:val="32"/>
          <w:szCs w:val="32"/>
          <w:highlight w:val="none"/>
          <w:lang w:val="en-US" w:eastAsia="zh-CN"/>
        </w:rPr>
        <w:t>（民族医）药专项</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医疗服务与保障能力提升（中医药事业传承与发展部分）、中医药发展专项资金</w:t>
      </w:r>
      <w:r>
        <w:rPr>
          <w:rFonts w:hint="eastAsia" w:ascii="仿宋_GB2312" w:eastAsia="仿宋_GB2312"/>
          <w:color w:val="auto"/>
          <w:sz w:val="32"/>
          <w:szCs w:val="32"/>
          <w:highlight w:val="none"/>
        </w:rPr>
        <w:t>。</w:t>
      </w:r>
    </w:p>
    <w:p w14:paraId="10443CF3">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其他卫生健康支出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其他卫生健康支出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医疗服务与保障能力提升（公立医院改革）资金</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lang w:eastAsia="zh-CN"/>
        </w:rPr>
        <w:t>卫生健康专项（医学科学研究）、医疗服务与保障能力提升（卫生健康人才培养）、</w:t>
      </w:r>
      <w:r>
        <w:rPr>
          <w:rFonts w:hint="eastAsia" w:ascii="仿宋_GB2312" w:eastAsia="仿宋_GB2312"/>
          <w:color w:val="auto"/>
          <w:sz w:val="32"/>
          <w:szCs w:val="32"/>
          <w:highlight w:val="none"/>
          <w:lang w:val="en-US" w:eastAsia="zh-CN"/>
        </w:rPr>
        <w:t>2025年人才专项经费等</w:t>
      </w:r>
      <w:r>
        <w:rPr>
          <w:rFonts w:hint="eastAsia" w:ascii="仿宋_GB2312" w:eastAsia="仿宋_GB2312"/>
          <w:color w:val="auto"/>
          <w:sz w:val="32"/>
          <w:szCs w:val="32"/>
          <w:highlight w:val="none"/>
          <w:lang w:eastAsia="zh-CN"/>
        </w:rPr>
        <w:t>资金</w:t>
      </w:r>
      <w:r>
        <w:rPr>
          <w:rFonts w:hint="eastAsia" w:ascii="仿宋_GB2312" w:eastAsia="仿宋_GB2312"/>
          <w:color w:val="auto"/>
          <w:sz w:val="32"/>
          <w:szCs w:val="32"/>
          <w:highlight w:val="none"/>
        </w:rPr>
        <w:t>。</w:t>
      </w:r>
    </w:p>
    <w:p w14:paraId="5D08A81E">
      <w:pPr>
        <w:spacing w:line="600" w:lineRule="exact"/>
        <w:ind w:firstLine="640" w:firstLineChars="200"/>
        <w:rPr>
          <w:rFonts w:ascii="仿宋_GB2312" w:hAnsi="Calibri" w:eastAsia="仿宋_GB2312" w:cs="仿宋"/>
          <w:kern w:val="0"/>
          <w:sz w:val="32"/>
          <w:szCs w:val="32"/>
        </w:rPr>
      </w:pPr>
      <w:r>
        <w:rPr>
          <w:rFonts w:hint="eastAsia" w:ascii="仿宋_GB2312" w:hAnsi="Calibri" w:eastAsia="仿宋_GB2312" w:cs="仿宋"/>
          <w:kern w:val="0"/>
          <w:sz w:val="32"/>
          <w:szCs w:val="32"/>
        </w:rPr>
        <w:t>2</w:t>
      </w:r>
      <w:r>
        <w:rPr>
          <w:rFonts w:hint="eastAsia" w:ascii="仿宋_GB2312" w:hAnsi="Calibri" w:eastAsia="仿宋_GB2312" w:cs="仿宋"/>
          <w:kern w:val="0"/>
          <w:sz w:val="32"/>
          <w:szCs w:val="32"/>
          <w:lang w:val="en-US" w:eastAsia="zh-CN"/>
        </w:rPr>
        <w:t>2</w:t>
      </w:r>
      <w:r>
        <w:rPr>
          <w:rFonts w:hint="eastAsia" w:ascii="仿宋_GB2312" w:hAnsi="Calibri" w:eastAsia="仿宋_GB2312" w:cs="仿宋"/>
          <w:kern w:val="0"/>
          <w:sz w:val="32"/>
          <w:szCs w:val="32"/>
        </w:rPr>
        <w:t>.住房保障支出</w:t>
      </w:r>
      <w:r>
        <w:rPr>
          <w:rFonts w:hint="eastAsia" w:ascii="仿宋_GB2312" w:eastAsia="仿宋_GB2312"/>
          <w:color w:val="auto"/>
          <w:sz w:val="32"/>
          <w:szCs w:val="32"/>
          <w:highlight w:val="none"/>
          <w:lang w:eastAsia="zh-CN"/>
        </w:rPr>
        <w:t>支出</w:t>
      </w:r>
      <w:r>
        <w:rPr>
          <w:rFonts w:hint="eastAsia" w:ascii="仿宋_GB2312" w:hAnsi="Calibri" w:eastAsia="仿宋_GB2312" w:cs="仿宋"/>
          <w:kern w:val="0"/>
          <w:sz w:val="32"/>
          <w:szCs w:val="32"/>
        </w:rPr>
        <w:t>（类）住房改革支出（款）住房公积金（项）</w:t>
      </w:r>
      <w:r>
        <w:rPr>
          <w:rFonts w:hint="eastAsia" w:ascii="仿宋_GB2312" w:hAnsi="Calibri" w:eastAsia="仿宋_GB2312" w:cs="仿宋"/>
          <w:kern w:val="0"/>
          <w:sz w:val="32"/>
          <w:szCs w:val="32"/>
          <w:lang w:eastAsia="zh-CN"/>
        </w:rPr>
        <w:t>：</w:t>
      </w:r>
      <w:r>
        <w:rPr>
          <w:rFonts w:hint="eastAsia" w:ascii="仿宋_GB2312" w:hAnsi="Calibri" w:eastAsia="仿宋_GB2312" w:cs="仿宋"/>
          <w:kern w:val="0"/>
          <w:sz w:val="32"/>
          <w:szCs w:val="32"/>
        </w:rPr>
        <w:t>指职工住房公积金支出。</w:t>
      </w:r>
    </w:p>
    <w:p w14:paraId="06A3BE9E">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3</w:t>
      </w:r>
      <w:r>
        <w:rPr>
          <w:rFonts w:hint="eastAsia" w:eastAsia="仿宋_GB2312" w:cs="仿宋_GB2312"/>
          <w:sz w:val="32"/>
          <w:szCs w:val="32"/>
        </w:rPr>
        <w:t>.基本支出：指为保障机构正常运转、完成日常工作任务而发生的人员支出和公用支出。</w:t>
      </w:r>
    </w:p>
    <w:p w14:paraId="0DBDB7FF">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4</w:t>
      </w:r>
      <w:r>
        <w:rPr>
          <w:rFonts w:hint="eastAsia" w:eastAsia="仿宋_GB2312" w:cs="仿宋_GB2312"/>
          <w:sz w:val="32"/>
          <w:szCs w:val="32"/>
        </w:rPr>
        <w:t xml:space="preserve">.项目支出：指在基本支出之外为完成特定行政任务和事业发展目标所发生的支出。 </w:t>
      </w:r>
    </w:p>
    <w:p w14:paraId="2DFB1C89">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5</w:t>
      </w:r>
      <w:r>
        <w:rPr>
          <w:rFonts w:hint="eastAsia" w:eastAsia="仿宋_GB2312" w:cs="仿宋_GB2312"/>
          <w:sz w:val="32"/>
          <w:szCs w:val="32"/>
        </w:rPr>
        <w:t>.经营支出：指事业单位在专业业务活动及其辅助活动之外开展非独立核算经营活动发生的支出。</w:t>
      </w:r>
    </w:p>
    <w:p w14:paraId="57338621">
      <w:pPr>
        <w:spacing w:line="600" w:lineRule="exact"/>
        <w:ind w:firstLine="640"/>
        <w:rPr>
          <w:rFonts w:eastAsia="仿宋_GB2312" w:cs="仿宋_GB2312"/>
          <w:sz w:val="32"/>
          <w:szCs w:val="32"/>
        </w:rPr>
      </w:pPr>
      <w:r>
        <w:rPr>
          <w:rFonts w:hint="eastAsia" w:eastAsia="仿宋_GB2312" w:cs="仿宋_GB2312"/>
          <w:sz w:val="32"/>
          <w:szCs w:val="32"/>
          <w:lang w:val="en-US" w:eastAsia="zh-CN"/>
        </w:rPr>
        <w:t>26</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EF58C71">
      <w:pPr>
        <w:spacing w:line="600" w:lineRule="exact"/>
        <w:ind w:firstLine="640"/>
        <w:rPr>
          <w:rFonts w:eastAsia="仿宋_GB2312" w:cs="仿宋_GB2312"/>
          <w:sz w:val="32"/>
          <w:szCs w:val="32"/>
        </w:rPr>
      </w:pPr>
      <w:r>
        <w:rPr>
          <w:rFonts w:hint="eastAsia" w:eastAsia="仿宋_GB2312" w:cs="仿宋_GB2312"/>
          <w:sz w:val="32"/>
          <w:szCs w:val="32"/>
          <w:lang w:val="en-US" w:eastAsia="zh-CN"/>
        </w:rPr>
        <w:t>27</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F7348A">
      <w:pPr>
        <w:spacing w:line="600" w:lineRule="exact"/>
        <w:ind w:firstLine="640"/>
        <w:rPr>
          <w:rFonts w:eastAsia="仿宋_GB2312" w:cs="仿宋_GB2312"/>
          <w:b/>
          <w:bCs/>
          <w:sz w:val="32"/>
          <w:szCs w:val="32"/>
        </w:rPr>
      </w:pPr>
    </w:p>
    <w:p w14:paraId="13D3135B">
      <w:pPr>
        <w:spacing w:line="600" w:lineRule="exact"/>
        <w:jc w:val="center"/>
        <w:rPr>
          <w:rStyle w:val="30"/>
          <w:rFonts w:eastAsia="黑体"/>
          <w:b w:val="0"/>
        </w:rPr>
      </w:pPr>
      <w:bookmarkStart w:id="95" w:name="_Toc15377226"/>
      <w:r>
        <w:rPr>
          <w:rFonts w:hint="eastAsia" w:eastAsia="仿宋_GB2312" w:cs="仿宋_GB2312"/>
          <w:sz w:val="32"/>
          <w:szCs w:val="32"/>
        </w:rPr>
        <w:br w:type="page"/>
      </w:r>
      <w:bookmarkStart w:id="96" w:name="_Toc15396614"/>
      <w:r>
        <w:rPr>
          <w:rFonts w:hint="eastAsia" w:eastAsia="黑体"/>
          <w:sz w:val="44"/>
          <w:szCs w:val="44"/>
        </w:rPr>
        <w:t>第四部分  附件</w:t>
      </w:r>
      <w:bookmarkEnd w:id="96"/>
    </w:p>
    <w:p w14:paraId="692B2FED">
      <w:pPr>
        <w:spacing w:line="572" w:lineRule="exact"/>
        <w:jc w:val="left"/>
        <w:outlineLvl w:val="0"/>
        <w:rPr>
          <w:rFonts w:eastAsia="黑体" w:cs="黑体"/>
          <w:color w:val="FF0000"/>
          <w:sz w:val="32"/>
          <w:szCs w:val="32"/>
        </w:rPr>
      </w:pPr>
    </w:p>
    <w:p w14:paraId="3A936776">
      <w:pPr>
        <w:pStyle w:val="15"/>
      </w:pPr>
    </w:p>
    <w:p w14:paraId="1FE87136">
      <w:pPr>
        <w:widowControl/>
        <w:adjustRightInd w:val="0"/>
        <w:snapToGrid w:val="0"/>
        <w:spacing w:line="578" w:lineRule="exact"/>
        <w:ind w:firstLine="640" w:firstLineChars="200"/>
        <w:contextualSpacing/>
        <w:jc w:val="left"/>
        <w:rPr>
          <w:rFonts w:eastAsia="仿宋_GB2312"/>
          <w:sz w:val="32"/>
          <w:szCs w:val="32"/>
          <w:lang w:val="en" w:bidi="ar"/>
        </w:rPr>
      </w:pPr>
      <w:bookmarkStart w:id="97" w:name="_Hlk110546638"/>
    </w:p>
    <w:bookmarkEnd w:id="97"/>
    <w:p w14:paraId="4DAF948A">
      <w:pPr>
        <w:pStyle w:val="8"/>
        <w:spacing w:line="560" w:lineRule="exact"/>
        <w:ind w:left="0" w:leftChars="0" w:firstLine="640"/>
        <w:rPr>
          <w:rFonts w:ascii="Times New Roman" w:eastAsia="仿宋_GB2312"/>
          <w:sz w:val="32"/>
          <w:lang w:val="zh-CN" w:bidi="ar"/>
        </w:rPr>
      </w:pPr>
    </w:p>
    <w:p w14:paraId="78FBDC72">
      <w:pPr>
        <w:pStyle w:val="8"/>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p>
    <w:p w14:paraId="0DBDD230">
      <w:pPr>
        <w:pStyle w:val="8"/>
        <w:spacing w:line="560" w:lineRule="exact"/>
        <w:ind w:left="0" w:leftChars="0" w:firstLine="0" w:firstLineChars="0"/>
        <w:rPr>
          <w:rFonts w:ascii="Times New Roman"/>
          <w:sz w:val="32"/>
          <w:highlight w:val="yellow"/>
          <w:lang w:val="zh-CN"/>
        </w:rPr>
      </w:pPr>
    </w:p>
    <w:p w14:paraId="00B331FE">
      <w:pPr>
        <w:pStyle w:val="6"/>
        <w:spacing w:before="93"/>
        <w:rPr>
          <w:rFonts w:ascii="Times New Roman" w:cs="宋体"/>
          <w:color w:val="FF0000"/>
          <w:sz w:val="32"/>
          <w:szCs w:val="32"/>
          <w:highlight w:val="yellow"/>
          <w:shd w:val="clear" w:color="auto" w:fill="FFFFFF"/>
          <w:lang w:val="zh-CN"/>
        </w:rPr>
      </w:pPr>
    </w:p>
    <w:p w14:paraId="16B06108">
      <w:pPr>
        <w:rPr>
          <w:rFonts w:hint="eastAsia" w:eastAsia="黑体"/>
          <w:sz w:val="44"/>
          <w:szCs w:val="44"/>
        </w:rPr>
      </w:pPr>
      <w:r>
        <w:rPr>
          <w:rFonts w:hint="eastAsia" w:eastAsia="黑体" w:cs="黑体"/>
          <w:kern w:val="0"/>
          <w:sz w:val="32"/>
          <w:szCs w:val="32"/>
          <w:shd w:val="clear" w:color="auto" w:fill="FFFFFF"/>
          <w:lang w:val="zh-CN"/>
        </w:rPr>
        <w:br w:type="page"/>
      </w:r>
      <w:bookmarkStart w:id="98" w:name="_Toc15396618"/>
    </w:p>
    <w:bookmarkEnd w:id="95"/>
    <w:bookmarkEnd w:id="98"/>
    <w:p w14:paraId="6FD90460">
      <w:pPr>
        <w:pStyle w:val="3"/>
        <w:bidi w:val="0"/>
        <w:jc w:val="center"/>
        <w:rPr>
          <w:rFonts w:hint="eastAsia"/>
        </w:rPr>
      </w:pPr>
      <w:bookmarkStart w:id="99" w:name="_Toc26762"/>
      <w:bookmarkStart w:id="100" w:name="_Toc30025"/>
      <w:bookmarkStart w:id="101" w:name="_Toc23252"/>
      <w:bookmarkStart w:id="102" w:name="_Toc22343"/>
      <w:bookmarkStart w:id="103" w:name="_Toc15975"/>
      <w:bookmarkStart w:id="104" w:name="_Toc18296"/>
      <w:bookmarkStart w:id="105" w:name="_Toc25530"/>
      <w:bookmarkStart w:id="106" w:name="_Toc4755"/>
      <w:bookmarkStart w:id="107" w:name="_Toc16156"/>
      <w:r>
        <w:rPr>
          <w:rFonts w:hint="eastAsia"/>
        </w:rPr>
        <w:t>第五部分 附表</w:t>
      </w:r>
      <w:bookmarkEnd w:id="99"/>
      <w:bookmarkEnd w:id="100"/>
      <w:bookmarkEnd w:id="101"/>
      <w:bookmarkEnd w:id="102"/>
      <w:bookmarkEnd w:id="103"/>
      <w:bookmarkEnd w:id="104"/>
      <w:bookmarkEnd w:id="105"/>
      <w:bookmarkEnd w:id="106"/>
      <w:bookmarkEnd w:id="107"/>
      <w:bookmarkStart w:id="108" w:name="_Toc15396619"/>
    </w:p>
    <w:p w14:paraId="47F7BB89">
      <w:pPr>
        <w:pStyle w:val="4"/>
        <w:bidi w:val="0"/>
        <w:rPr>
          <w:rFonts w:hint="eastAsia"/>
          <w:b w:val="0"/>
          <w:bCs w:val="0"/>
          <w:lang w:val="zh-CN" w:eastAsia="zh-CN"/>
        </w:rPr>
      </w:pPr>
      <w:bookmarkStart w:id="109" w:name="_Toc4676"/>
      <w:bookmarkStart w:id="110" w:name="_Toc3883"/>
      <w:bookmarkStart w:id="111" w:name="_Toc11944"/>
      <w:bookmarkStart w:id="112" w:name="_Toc3355"/>
      <w:bookmarkStart w:id="113" w:name="_Toc23898"/>
      <w:r>
        <w:rPr>
          <w:rFonts w:hint="eastAsia"/>
          <w:b w:val="0"/>
          <w:bCs w:val="0"/>
          <w:lang w:val="zh-CN" w:eastAsia="zh-CN"/>
        </w:rPr>
        <w:t>一、收入支出决算总表</w:t>
      </w:r>
      <w:bookmarkEnd w:id="108"/>
      <w:bookmarkEnd w:id="109"/>
      <w:bookmarkEnd w:id="110"/>
      <w:bookmarkEnd w:id="111"/>
      <w:bookmarkEnd w:id="112"/>
      <w:bookmarkEnd w:id="113"/>
    </w:p>
    <w:p w14:paraId="232386EE">
      <w:pPr>
        <w:pStyle w:val="4"/>
        <w:bidi w:val="0"/>
        <w:rPr>
          <w:rFonts w:hint="eastAsia"/>
          <w:b w:val="0"/>
          <w:bCs w:val="0"/>
          <w:lang w:val="zh-CN" w:eastAsia="zh-CN"/>
        </w:rPr>
      </w:pPr>
      <w:bookmarkStart w:id="114" w:name="_Toc26388"/>
      <w:bookmarkStart w:id="115" w:name="_Toc15396620"/>
      <w:bookmarkStart w:id="116" w:name="_Toc12423"/>
      <w:bookmarkStart w:id="117" w:name="_Toc3832"/>
      <w:bookmarkStart w:id="118" w:name="_Toc21712"/>
      <w:bookmarkStart w:id="119" w:name="_Toc11430"/>
      <w:r>
        <w:rPr>
          <w:rFonts w:hint="eastAsia"/>
          <w:b w:val="0"/>
          <w:bCs w:val="0"/>
          <w:lang w:val="zh-CN" w:eastAsia="zh-CN"/>
        </w:rPr>
        <w:t>二、收入决算表</w:t>
      </w:r>
      <w:bookmarkEnd w:id="114"/>
      <w:bookmarkEnd w:id="115"/>
      <w:bookmarkEnd w:id="116"/>
      <w:bookmarkEnd w:id="117"/>
      <w:bookmarkEnd w:id="118"/>
      <w:bookmarkEnd w:id="119"/>
    </w:p>
    <w:p w14:paraId="15E35452">
      <w:pPr>
        <w:pStyle w:val="4"/>
        <w:bidi w:val="0"/>
        <w:rPr>
          <w:rFonts w:hint="eastAsia"/>
          <w:b w:val="0"/>
          <w:bCs w:val="0"/>
          <w:lang w:val="zh-CN" w:eastAsia="zh-CN"/>
        </w:rPr>
      </w:pPr>
      <w:bookmarkStart w:id="120" w:name="_Toc26406"/>
      <w:bookmarkStart w:id="121" w:name="_Toc10139"/>
      <w:bookmarkStart w:id="122" w:name="_Toc11731"/>
      <w:bookmarkStart w:id="123" w:name="_Toc15396621"/>
      <w:r>
        <w:rPr>
          <w:rFonts w:hint="eastAsia"/>
          <w:b w:val="0"/>
          <w:bCs w:val="0"/>
          <w:lang w:val="zh-CN" w:eastAsia="zh-CN"/>
        </w:rPr>
        <w:t>三、支出决算表</w:t>
      </w:r>
      <w:bookmarkEnd w:id="120"/>
      <w:bookmarkEnd w:id="121"/>
      <w:bookmarkEnd w:id="122"/>
      <w:bookmarkEnd w:id="123"/>
    </w:p>
    <w:p w14:paraId="3D3B9780">
      <w:pPr>
        <w:pStyle w:val="4"/>
        <w:bidi w:val="0"/>
        <w:rPr>
          <w:rFonts w:hint="eastAsia"/>
          <w:b w:val="0"/>
          <w:bCs w:val="0"/>
          <w:lang w:val="zh-CN" w:eastAsia="zh-CN"/>
        </w:rPr>
      </w:pPr>
      <w:bookmarkStart w:id="124" w:name="_Toc29660"/>
      <w:bookmarkStart w:id="125" w:name="_Toc15396622"/>
      <w:bookmarkStart w:id="126" w:name="_Toc18572"/>
      <w:bookmarkStart w:id="127" w:name="_Toc31748"/>
      <w:r>
        <w:rPr>
          <w:rFonts w:hint="eastAsia"/>
          <w:b w:val="0"/>
          <w:bCs w:val="0"/>
          <w:lang w:val="zh-CN" w:eastAsia="zh-CN"/>
        </w:rPr>
        <w:t>四、财政拨款收入支出决算总表</w:t>
      </w:r>
      <w:bookmarkEnd w:id="124"/>
      <w:bookmarkEnd w:id="125"/>
      <w:bookmarkEnd w:id="126"/>
      <w:bookmarkEnd w:id="127"/>
    </w:p>
    <w:p w14:paraId="048BC231">
      <w:pPr>
        <w:pStyle w:val="4"/>
        <w:bidi w:val="0"/>
        <w:rPr>
          <w:rFonts w:hint="eastAsia"/>
          <w:b w:val="0"/>
          <w:bCs w:val="0"/>
          <w:lang w:val="zh-CN" w:eastAsia="zh-CN"/>
        </w:rPr>
      </w:pPr>
      <w:bookmarkStart w:id="128" w:name="_Toc15396623"/>
      <w:bookmarkStart w:id="129" w:name="_Toc12280"/>
      <w:bookmarkStart w:id="130" w:name="_Toc12453"/>
      <w:bookmarkStart w:id="131" w:name="_Toc2795"/>
      <w:r>
        <w:rPr>
          <w:rFonts w:hint="eastAsia"/>
          <w:b w:val="0"/>
          <w:bCs w:val="0"/>
          <w:lang w:val="zh-CN" w:eastAsia="zh-CN"/>
        </w:rPr>
        <w:t>五、财政拨款支出决算明细表</w:t>
      </w:r>
      <w:bookmarkEnd w:id="128"/>
      <w:bookmarkEnd w:id="129"/>
      <w:bookmarkEnd w:id="130"/>
      <w:bookmarkEnd w:id="131"/>
      <w:bookmarkStart w:id="132" w:name="_Toc15396624"/>
    </w:p>
    <w:p w14:paraId="3AC26024">
      <w:pPr>
        <w:pStyle w:val="4"/>
        <w:bidi w:val="0"/>
        <w:rPr>
          <w:rFonts w:hint="eastAsia"/>
          <w:b w:val="0"/>
          <w:bCs w:val="0"/>
          <w:lang w:val="zh-CN" w:eastAsia="zh-CN"/>
        </w:rPr>
      </w:pPr>
      <w:bookmarkStart w:id="133" w:name="_Toc19160"/>
      <w:bookmarkStart w:id="134" w:name="_Toc15009"/>
      <w:bookmarkStart w:id="135" w:name="_Toc20129"/>
      <w:r>
        <w:rPr>
          <w:rFonts w:hint="eastAsia"/>
          <w:b w:val="0"/>
          <w:bCs w:val="0"/>
          <w:lang w:val="zh-CN" w:eastAsia="zh-CN"/>
        </w:rPr>
        <w:t>六、一般公共预算财政拨款支出决算表</w:t>
      </w:r>
      <w:bookmarkEnd w:id="132"/>
      <w:bookmarkEnd w:id="133"/>
      <w:bookmarkEnd w:id="134"/>
      <w:bookmarkEnd w:id="135"/>
    </w:p>
    <w:p w14:paraId="682FAB6D">
      <w:pPr>
        <w:pStyle w:val="4"/>
        <w:bidi w:val="0"/>
        <w:rPr>
          <w:rFonts w:hint="eastAsia"/>
          <w:b w:val="0"/>
          <w:bCs w:val="0"/>
          <w:lang w:val="zh-CN" w:eastAsia="zh-CN"/>
        </w:rPr>
      </w:pPr>
      <w:bookmarkStart w:id="136" w:name="_Toc15396625"/>
      <w:bookmarkStart w:id="137" w:name="_Toc11014"/>
      <w:bookmarkStart w:id="138" w:name="_Toc26476"/>
      <w:bookmarkStart w:id="139" w:name="_Toc24780"/>
      <w:r>
        <w:rPr>
          <w:rFonts w:hint="eastAsia"/>
          <w:b w:val="0"/>
          <w:bCs w:val="0"/>
          <w:lang w:val="zh-CN" w:eastAsia="zh-CN"/>
        </w:rPr>
        <w:t>七、一般公共预算财政拨款支出决算明细表</w:t>
      </w:r>
      <w:bookmarkEnd w:id="136"/>
      <w:bookmarkEnd w:id="137"/>
      <w:bookmarkEnd w:id="138"/>
      <w:bookmarkEnd w:id="139"/>
    </w:p>
    <w:p w14:paraId="0BEB75CC">
      <w:pPr>
        <w:pStyle w:val="4"/>
        <w:bidi w:val="0"/>
        <w:rPr>
          <w:rFonts w:hint="eastAsia"/>
          <w:b w:val="0"/>
          <w:bCs w:val="0"/>
          <w:lang w:val="zh-CN" w:eastAsia="zh-CN"/>
        </w:rPr>
      </w:pPr>
      <w:bookmarkStart w:id="140" w:name="_Toc16644"/>
      <w:bookmarkStart w:id="141" w:name="_Toc23765"/>
      <w:bookmarkStart w:id="142" w:name="_Toc4530"/>
      <w:bookmarkStart w:id="143" w:name="_Toc15396626"/>
      <w:r>
        <w:rPr>
          <w:rFonts w:hint="eastAsia"/>
          <w:b w:val="0"/>
          <w:bCs w:val="0"/>
          <w:lang w:val="zh-CN" w:eastAsia="zh-CN"/>
        </w:rPr>
        <w:t>八、一般公共预算财政拨款基本支出决算表</w:t>
      </w:r>
      <w:bookmarkEnd w:id="140"/>
      <w:bookmarkEnd w:id="141"/>
      <w:bookmarkEnd w:id="142"/>
      <w:bookmarkEnd w:id="143"/>
    </w:p>
    <w:p w14:paraId="2885D9CC">
      <w:pPr>
        <w:pStyle w:val="4"/>
        <w:bidi w:val="0"/>
        <w:rPr>
          <w:rFonts w:hint="eastAsia"/>
          <w:b w:val="0"/>
          <w:bCs w:val="0"/>
          <w:lang w:val="zh-CN" w:eastAsia="zh-CN"/>
        </w:rPr>
      </w:pPr>
      <w:bookmarkStart w:id="144" w:name="_Toc30881"/>
      <w:bookmarkStart w:id="145" w:name="_Toc15396627"/>
      <w:bookmarkStart w:id="146" w:name="_Toc29776"/>
      <w:bookmarkStart w:id="147" w:name="_Toc5017"/>
      <w:r>
        <w:rPr>
          <w:rFonts w:hint="eastAsia"/>
          <w:b w:val="0"/>
          <w:bCs w:val="0"/>
          <w:lang w:val="zh-CN" w:eastAsia="zh-CN"/>
        </w:rPr>
        <w:t>九、一般公共预算财政拨款项目支出决算表</w:t>
      </w:r>
      <w:bookmarkEnd w:id="144"/>
      <w:bookmarkEnd w:id="145"/>
      <w:bookmarkEnd w:id="146"/>
      <w:bookmarkEnd w:id="147"/>
    </w:p>
    <w:p w14:paraId="43E4D91C">
      <w:pPr>
        <w:pStyle w:val="4"/>
        <w:bidi w:val="0"/>
        <w:rPr>
          <w:rFonts w:hint="eastAsia"/>
          <w:b w:val="0"/>
          <w:bCs w:val="0"/>
          <w:lang w:val="zh-CN" w:eastAsia="zh-CN"/>
        </w:rPr>
      </w:pPr>
      <w:bookmarkStart w:id="148" w:name="_Toc15396628"/>
      <w:bookmarkStart w:id="149" w:name="_Toc31576"/>
      <w:bookmarkStart w:id="150" w:name="_Toc6061"/>
      <w:bookmarkStart w:id="151" w:name="_Toc12205"/>
      <w:r>
        <w:rPr>
          <w:rFonts w:hint="eastAsia"/>
          <w:b w:val="0"/>
          <w:bCs w:val="0"/>
          <w:lang w:val="zh-CN" w:eastAsia="zh-CN"/>
        </w:rPr>
        <w:t>十、</w:t>
      </w:r>
      <w:bookmarkEnd w:id="148"/>
      <w:r>
        <w:rPr>
          <w:rFonts w:hint="eastAsia"/>
          <w:b w:val="0"/>
          <w:bCs w:val="0"/>
          <w:lang w:val="zh-CN" w:eastAsia="zh-CN"/>
        </w:rPr>
        <w:t>政府性基金预算财政拨款收入支出决算表（此表无数据）</w:t>
      </w:r>
      <w:bookmarkEnd w:id="149"/>
      <w:bookmarkEnd w:id="150"/>
      <w:bookmarkEnd w:id="151"/>
    </w:p>
    <w:p w14:paraId="5F99EB68">
      <w:pPr>
        <w:pStyle w:val="4"/>
        <w:bidi w:val="0"/>
        <w:rPr>
          <w:rFonts w:hint="eastAsia"/>
          <w:b w:val="0"/>
          <w:bCs w:val="0"/>
          <w:lang w:val="zh-CN" w:eastAsia="zh-CN"/>
        </w:rPr>
      </w:pPr>
      <w:bookmarkStart w:id="152" w:name="_Toc15396629"/>
      <w:bookmarkStart w:id="153" w:name="_Toc15564"/>
      <w:bookmarkStart w:id="154" w:name="_Toc16707"/>
      <w:bookmarkStart w:id="155" w:name="_Toc19018"/>
      <w:r>
        <w:rPr>
          <w:rFonts w:hint="eastAsia"/>
          <w:b w:val="0"/>
          <w:bCs w:val="0"/>
          <w:lang w:val="zh-CN" w:eastAsia="zh-CN"/>
        </w:rPr>
        <w:t>十一、</w:t>
      </w:r>
      <w:bookmarkEnd w:id="152"/>
      <w:r>
        <w:rPr>
          <w:rFonts w:hint="eastAsia"/>
          <w:b w:val="0"/>
          <w:bCs w:val="0"/>
          <w:lang w:val="zh-CN" w:eastAsia="zh-CN"/>
        </w:rPr>
        <w:t>国有资本经营预算财政拨款收入支出决算表（此表无数据）</w:t>
      </w:r>
      <w:bookmarkEnd w:id="153"/>
      <w:bookmarkEnd w:id="154"/>
      <w:bookmarkEnd w:id="155"/>
    </w:p>
    <w:p w14:paraId="46920BF3">
      <w:pPr>
        <w:pStyle w:val="4"/>
        <w:bidi w:val="0"/>
        <w:rPr>
          <w:rFonts w:hint="eastAsia"/>
          <w:b w:val="0"/>
          <w:bCs w:val="0"/>
          <w:lang w:val="zh-CN" w:eastAsia="zh-CN"/>
        </w:rPr>
      </w:pPr>
      <w:bookmarkStart w:id="156" w:name="_Toc15396630"/>
      <w:bookmarkStart w:id="157" w:name="_Toc2774"/>
      <w:bookmarkStart w:id="158" w:name="_Toc29013"/>
      <w:bookmarkStart w:id="159" w:name="_Toc21549"/>
      <w:r>
        <w:rPr>
          <w:rFonts w:hint="eastAsia"/>
          <w:b w:val="0"/>
          <w:bCs w:val="0"/>
          <w:lang w:val="zh-CN" w:eastAsia="zh-CN"/>
        </w:rPr>
        <w:t>十二、</w:t>
      </w:r>
      <w:bookmarkEnd w:id="156"/>
      <w:r>
        <w:rPr>
          <w:rFonts w:hint="eastAsia"/>
          <w:b w:val="0"/>
          <w:bCs w:val="0"/>
          <w:lang w:val="zh-CN" w:eastAsia="zh-CN"/>
        </w:rPr>
        <w:t>国有资本经营预算财政拨款支出决算表</w:t>
      </w:r>
      <w:bookmarkStart w:id="160" w:name="_Toc15396631"/>
      <w:r>
        <w:rPr>
          <w:rFonts w:hint="eastAsia"/>
          <w:b w:val="0"/>
          <w:bCs w:val="0"/>
          <w:lang w:val="zh-CN" w:eastAsia="zh-CN"/>
        </w:rPr>
        <w:t>（此表无数据）</w:t>
      </w:r>
      <w:bookmarkEnd w:id="157"/>
      <w:bookmarkEnd w:id="158"/>
      <w:bookmarkEnd w:id="159"/>
    </w:p>
    <w:p w14:paraId="0CACE5B1">
      <w:pPr>
        <w:pStyle w:val="4"/>
        <w:bidi w:val="0"/>
        <w:rPr>
          <w:rFonts w:hint="eastAsia"/>
          <w:lang w:val="zh-CN" w:eastAsia="zh-CN"/>
        </w:rPr>
      </w:pPr>
      <w:bookmarkStart w:id="161" w:name="_Toc23541"/>
      <w:bookmarkStart w:id="162" w:name="_Toc3392"/>
      <w:bookmarkStart w:id="163" w:name="_Toc19549"/>
      <w:r>
        <w:rPr>
          <w:rFonts w:hint="eastAsia"/>
          <w:b w:val="0"/>
          <w:bCs w:val="0"/>
          <w:lang w:val="zh-CN" w:eastAsia="zh-CN"/>
        </w:rPr>
        <w:t>十三、</w:t>
      </w:r>
      <w:bookmarkEnd w:id="160"/>
      <w:r>
        <w:rPr>
          <w:rFonts w:hint="eastAsia"/>
          <w:b w:val="0"/>
          <w:bCs w:val="0"/>
          <w:lang w:val="zh-CN" w:eastAsia="zh-CN"/>
        </w:rPr>
        <w:t>财政拨款“三公”经费支出决算表（此表无数据）</w:t>
      </w:r>
      <w:bookmarkEnd w:id="161"/>
      <w:bookmarkEnd w:id="162"/>
      <w:bookmarkEnd w:id="163"/>
    </w:p>
    <w:p w14:paraId="466606CD"/>
    <w:sectPr>
      <w:footerReference r:id="rId9" w:type="first"/>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AEF0">
    <w:pPr>
      <w:pStyle w:val="12"/>
      <w:jc w:val="center"/>
    </w:pPr>
  </w:p>
  <w:p w14:paraId="4F32E45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88034">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E9486">
                          <w:pPr>
                            <w:pStyle w:val="1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D6E9486">
                    <w:pPr>
                      <w:pStyle w:val="12"/>
                    </w:pPr>
                  </w:p>
                </w:txbxContent>
              </v:textbox>
            </v:shape>
          </w:pict>
        </mc:Fallback>
      </mc:AlternateContent>
    </w:r>
  </w:p>
  <w:p w14:paraId="1D8A12F9">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0A45">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2794F">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072794F">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38FF">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6F82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936F828">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0C1AEDFF">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F8F07">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6B319">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BD6B319">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A2278">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6106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54656D"/>
    <w:multiLevelType w:val="singleLevel"/>
    <w:tmpl w:val="D154656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MWE0ZmQ5YTQwN2UzNTQwNTlhZjM2ODdmMTJlOW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3A54C9"/>
    <w:rsid w:val="06195101"/>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4C95080"/>
    <w:rsid w:val="152F2A07"/>
    <w:rsid w:val="165E0673"/>
    <w:rsid w:val="16BB723D"/>
    <w:rsid w:val="179D7AD3"/>
    <w:rsid w:val="186504BB"/>
    <w:rsid w:val="1938089F"/>
    <w:rsid w:val="19A445FC"/>
    <w:rsid w:val="1B7D550C"/>
    <w:rsid w:val="1BE8440E"/>
    <w:rsid w:val="1D155CEE"/>
    <w:rsid w:val="1E740ACF"/>
    <w:rsid w:val="1E8E712A"/>
    <w:rsid w:val="1FF35744"/>
    <w:rsid w:val="1FF6BC77"/>
    <w:rsid w:val="21962A9E"/>
    <w:rsid w:val="21AE7C77"/>
    <w:rsid w:val="22BC3C41"/>
    <w:rsid w:val="23860B96"/>
    <w:rsid w:val="240371BF"/>
    <w:rsid w:val="260F557C"/>
    <w:rsid w:val="281408E2"/>
    <w:rsid w:val="29FD04D3"/>
    <w:rsid w:val="2BFF7BC6"/>
    <w:rsid w:val="2C8A61B5"/>
    <w:rsid w:val="2D2E01CF"/>
    <w:rsid w:val="2DA90D03"/>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2B6B23"/>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B71C4F"/>
    <w:rsid w:val="53F74C96"/>
    <w:rsid w:val="54601A83"/>
    <w:rsid w:val="56E47B74"/>
    <w:rsid w:val="57BD3DD4"/>
    <w:rsid w:val="5AF92295"/>
    <w:rsid w:val="5BDD79E6"/>
    <w:rsid w:val="5BF561CA"/>
    <w:rsid w:val="5BFF5DFC"/>
    <w:rsid w:val="5C961BA3"/>
    <w:rsid w:val="5CD71FC4"/>
    <w:rsid w:val="5D1F11B5"/>
    <w:rsid w:val="5DAE1B18"/>
    <w:rsid w:val="5DE7D9E5"/>
    <w:rsid w:val="5EA43433"/>
    <w:rsid w:val="5ECEC941"/>
    <w:rsid w:val="5F493CB7"/>
    <w:rsid w:val="5FBF9FF3"/>
    <w:rsid w:val="5FCD4E2C"/>
    <w:rsid w:val="5FD15F49"/>
    <w:rsid w:val="5FEF394A"/>
    <w:rsid w:val="5FF67715"/>
    <w:rsid w:val="62BF3928"/>
    <w:rsid w:val="63C20235"/>
    <w:rsid w:val="647F5392"/>
    <w:rsid w:val="657274A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7"/>
    <w:unhideWhenUsed/>
    <w:qFormat/>
    <w:uiPriority w:val="99"/>
    <w:pPr>
      <w:ind w:firstLine="420" w:firstLineChars="200"/>
    </w:pPr>
  </w:style>
  <w:style w:type="paragraph" w:styleId="9">
    <w:name w:val="toc 5"/>
    <w:basedOn w:val="1"/>
    <w:next w:val="1"/>
    <w:semiHidden/>
    <w:unhideWhenUsed/>
    <w:qFormat/>
    <w:uiPriority w:val="39"/>
    <w:pPr>
      <w:ind w:left="1680" w:leftChars="8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9"/>
    <w:link w:val="8"/>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84567464268"/>
          <c:y val="0.032784783367251"/>
          <c:w val="0.864173798551679"/>
          <c:h val="0.886493506493506"/>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Lbl>
              <c:idx val="0"/>
              <c:layout>
                <c:manualLayout>
                  <c:x val="0.0100141062564845"/>
                  <c:y val="0.0164509760912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78591979252915"/>
                  <c:y val="0.033415408761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收入总计</c:v>
                </c:pt>
                <c:pt idx="1">
                  <c:v>支出总计</c:v>
                </c:pt>
              </c:strCache>
            </c:strRef>
          </c:cat>
          <c:val>
            <c:numRef>
              <c:f>Sheet1!$B$2:$B$5</c:f>
              <c:numCache>
                <c:formatCode>General</c:formatCode>
                <c:ptCount val="4"/>
                <c:pt idx="0">
                  <c:v>113900.62</c:v>
                </c:pt>
                <c:pt idx="1">
                  <c:v>113900.62</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0"/>
              <c:layout>
                <c:manualLayout>
                  <c:x val="0.073337848563134"/>
                  <c:y val="0.0856613563460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79643025949795"/>
                  <c:y val="0.116693969528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收入总计</c:v>
                </c:pt>
                <c:pt idx="1">
                  <c:v>支出总计</c:v>
                </c:pt>
              </c:strCache>
            </c:strRef>
          </c:cat>
          <c:val>
            <c:numRef>
              <c:f>Sheet1!$C$2:$C$5</c:f>
              <c:numCache>
                <c:formatCode>0.00_ </c:formatCode>
                <c:ptCount val="4"/>
                <c:pt idx="0">
                  <c:v>113481.36</c:v>
                </c:pt>
                <c:pt idx="1">
                  <c:v>113481.36</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收入总计</c:v>
                </c:pt>
                <c:pt idx="1">
                  <c:v>支出总计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99709252"/>
        <c:axId val="610180634"/>
      </c:barChart>
      <c:catAx>
        <c:axId val="9997092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180634"/>
        <c:crosses val="autoZero"/>
        <c:auto val="1"/>
        <c:lblAlgn val="ctr"/>
        <c:lblOffset val="100"/>
        <c:noMultiLvlLbl val="0"/>
      </c:catAx>
      <c:valAx>
        <c:axId val="61018063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709252"/>
        <c:crosses val="autoZero"/>
        <c:crossBetween val="between"/>
      </c:valAx>
      <c:spPr>
        <a:noFill/>
        <a:ln>
          <a:noFill/>
        </a:ln>
        <a:effectLst/>
      </c:spPr>
    </c:plotArea>
    <c:legend>
      <c:legendPos val="b"/>
      <c:legendEntry>
        <c:idx val="2"/>
        <c:delete val="1"/>
      </c:legendEntry>
      <c:layout>
        <c:manualLayout>
          <c:xMode val="edge"/>
          <c:yMode val="edge"/>
          <c:x val="0.549912431070867"/>
          <c:y val="0.9112138165896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919e8b-3eff-4a0e-99e5-5b9313da1c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248280489850696"/>
                  <c:y val="0.0222222222222222"/>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239892635463848"/>
                  <c:y val="-0.0555555555555556"/>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253313202482805"/>
                  <c:y val="0"/>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事业收入</c:v>
                </c:pt>
                <c:pt idx="2">
                  <c:v>其他收入</c:v>
                </c:pt>
              </c:strCache>
            </c:strRef>
          </c:cat>
          <c:val>
            <c:numRef>
              <c:f>Sheet1!$B$2:$B$4</c:f>
              <c:numCache>
                <c:formatCode>General</c:formatCode>
                <c:ptCount val="3"/>
                <c:pt idx="0">
                  <c:v>2879.58</c:v>
                </c:pt>
                <c:pt idx="1">
                  <c:v>92432.4</c:v>
                </c:pt>
                <c:pt idx="2">
                  <c:v>963.48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3563160543533"/>
          <c:y val="0.8926666666666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91c642-b729-4e7f-9afd-3249243d64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22997817020481"/>
                  <c:y val="-0.148898333937251"/>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36404833836858"/>
                      <c:h val="0.235380654652446"/>
                    </c:manualLayout>
                  </c15:layout>
                </c:ext>
              </c:extLst>
            </c:dLbl>
            <c:dLbl>
              <c:idx val="1"/>
              <c:layout>
                <c:manualLayout>
                  <c:x val="-0.15936496556425"/>
                  <c:y val="0.0441338727473336"/>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83958.79</c:v>
                </c:pt>
                <c:pt idx="1">
                  <c:v>8641.25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3adb34-ba29-44c7-8097-9d2756bafb1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2879.58</c:v>
                </c:pt>
                <c:pt idx="1">
                  <c:v>2879.58</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1717.33</c:v>
                </c:pt>
                <c:pt idx="1">
                  <c:v>1717.33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388343129"/>
        <c:axId val="898091949"/>
      </c:barChart>
      <c:catAx>
        <c:axId val="388343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091949"/>
        <c:crosses val="autoZero"/>
        <c:auto val="1"/>
        <c:lblAlgn val="ctr"/>
        <c:lblOffset val="100"/>
        <c:noMultiLvlLbl val="0"/>
      </c:catAx>
      <c:valAx>
        <c:axId val="89809194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4312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1d9380-a6bc-46c0-ba7f-9e2b2e5294e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财政拨款支出</c:v>
                </c:pt>
              </c:strCache>
            </c:strRef>
          </c:cat>
          <c:val>
            <c:numRef>
              <c:f>Sheet1!$B$2</c:f>
              <c:numCache>
                <c:formatCode>General</c:formatCode>
                <c:ptCount val="1"/>
                <c:pt idx="0">
                  <c:v>2879.58</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财政拨款支出</c:v>
                </c:pt>
              </c:strCache>
            </c:strRef>
          </c:cat>
          <c:val>
            <c:numRef>
              <c:f>Sheet1!$C$2</c:f>
              <c:numCache>
                <c:formatCode>General</c:formatCode>
                <c:ptCount val="1"/>
                <c:pt idx="0">
                  <c:v>1717.33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388343129"/>
        <c:axId val="898091949"/>
      </c:barChart>
      <c:catAx>
        <c:axId val="388343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091949"/>
        <c:crosses val="autoZero"/>
        <c:auto val="1"/>
        <c:lblAlgn val="ctr"/>
        <c:lblOffset val="100"/>
        <c:noMultiLvlLbl val="0"/>
      </c:catAx>
      <c:valAx>
        <c:axId val="89809194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4312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e38b8d-c38d-49be-8298-d2b65dfb8a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62150841577739"/>
                  <c:y val="0"/>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150609755058384"/>
                  <c:y val="0.411088921044891"/>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58836480299048"/>
                  <c:y val="0.0465144083421105"/>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科学技术支出</c:v>
                </c:pt>
                <c:pt idx="1">
                  <c:v>社会保障和就业支出</c:v>
                </c:pt>
                <c:pt idx="2">
                  <c:v>卫生健康支出</c:v>
                </c:pt>
              </c:strCache>
            </c:strRef>
          </c:cat>
          <c:val>
            <c:numRef>
              <c:f>Sheet1!$B$2:$B$4</c:f>
              <c:numCache>
                <c:formatCode>General</c:formatCode>
                <c:ptCount val="3"/>
                <c:pt idx="0">
                  <c:v>55</c:v>
                </c:pt>
                <c:pt idx="1">
                  <c:v>793.78</c:v>
                </c:pt>
                <c:pt idx="2">
                  <c:v>2030.8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44075904959337"/>
          <c:y val="0.8366737739872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55fabf-2055-43a9-bcbd-4a4af47d217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5877</Words>
  <Characters>6349</Characters>
  <Lines>63</Lines>
  <Paragraphs>17</Paragraphs>
  <TotalTime>15</TotalTime>
  <ScaleCrop>false</ScaleCrop>
  <LinksUpToDate>false</LinksUpToDate>
  <CharactersWithSpaces>6405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王晓波</cp:lastModifiedBy>
  <cp:lastPrinted>2026-08-27T00:27:00Z</cp:lastPrinted>
  <dcterms:modified xsi:type="dcterms:W3CDTF">2026-09-07T01:37:21Z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3BF536824C220DA3E40E8B68BA118B1C_42</vt:lpwstr>
  </property>
</Properties>
</file>